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93F10" w:rsidRPr="00194AA6" w:rsidRDefault="00ED7E2D" w:rsidP="00194AA6">
      <w:pPr>
        <w:jc w:val="center"/>
        <w:rPr>
          <w:sz w:val="22"/>
          <w:szCs w:val="22"/>
        </w:rPr>
      </w:pPr>
      <w:r>
        <w:rPr>
          <w:sz w:val="22"/>
          <w:szCs w:val="22"/>
        </w:rPr>
        <w:t xml:space="preserve"> </w:t>
      </w:r>
    </w:p>
    <w:p w:rsidR="00193F10" w:rsidRDefault="00C929A0" w:rsidP="00194AA6">
      <w:pPr>
        <w:jc w:val="cente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5.2pt;height:88.7pt" fillcolor="window">
            <v:imagedata r:id="rId8" o:title="depcolor"/>
          </v:shape>
        </w:pict>
      </w:r>
    </w:p>
    <w:p w:rsidR="001771DC" w:rsidRPr="00194AA6" w:rsidRDefault="001771DC" w:rsidP="00194AA6">
      <w:pPr>
        <w:jc w:val="center"/>
        <w:rPr>
          <w:sz w:val="22"/>
          <w:szCs w:val="22"/>
        </w:rPr>
      </w:pPr>
    </w:p>
    <w:p w:rsidR="00193F10" w:rsidRPr="00194AA6" w:rsidRDefault="00193F10" w:rsidP="00194AA6">
      <w:pPr>
        <w:pStyle w:val="Heading3"/>
        <w:rPr>
          <w:b/>
          <w:sz w:val="22"/>
          <w:szCs w:val="22"/>
        </w:rPr>
      </w:pPr>
      <w:r w:rsidRPr="00194AA6">
        <w:rPr>
          <w:b/>
          <w:sz w:val="22"/>
          <w:szCs w:val="22"/>
        </w:rPr>
        <w:t>TECHNICAL EVALUATION</w:t>
      </w:r>
    </w:p>
    <w:p w:rsidR="00193F10" w:rsidRPr="00194AA6" w:rsidRDefault="00193F10" w:rsidP="00194AA6">
      <w:pPr>
        <w:jc w:val="center"/>
        <w:rPr>
          <w:b/>
          <w:sz w:val="22"/>
          <w:szCs w:val="22"/>
        </w:rPr>
      </w:pPr>
      <w:r w:rsidRPr="00194AA6">
        <w:rPr>
          <w:b/>
          <w:sz w:val="22"/>
          <w:szCs w:val="22"/>
        </w:rPr>
        <w:t>&amp;</w:t>
      </w:r>
    </w:p>
    <w:p w:rsidR="00193F10" w:rsidRPr="00194AA6" w:rsidRDefault="00193F10" w:rsidP="00194AA6">
      <w:pPr>
        <w:jc w:val="center"/>
        <w:rPr>
          <w:b/>
          <w:sz w:val="22"/>
          <w:szCs w:val="22"/>
        </w:rPr>
      </w:pPr>
      <w:r w:rsidRPr="00194AA6">
        <w:rPr>
          <w:b/>
          <w:sz w:val="22"/>
          <w:szCs w:val="22"/>
        </w:rPr>
        <w:t>PRELIMINARY DETERMINATION</w:t>
      </w:r>
    </w:p>
    <w:p w:rsidR="00193F10" w:rsidRPr="00194AA6" w:rsidRDefault="00193F10" w:rsidP="00194AA6">
      <w:pPr>
        <w:jc w:val="center"/>
        <w:rPr>
          <w:sz w:val="22"/>
          <w:szCs w:val="22"/>
        </w:rPr>
      </w:pPr>
    </w:p>
    <w:p w:rsidR="00193F10" w:rsidRPr="00194AA6" w:rsidRDefault="00193F10" w:rsidP="00194AA6">
      <w:pPr>
        <w:jc w:val="center"/>
        <w:rPr>
          <w:sz w:val="22"/>
          <w:szCs w:val="22"/>
        </w:rPr>
      </w:pPr>
    </w:p>
    <w:p w:rsidR="00193F10" w:rsidRPr="00194AA6" w:rsidRDefault="00193F10" w:rsidP="00194AA6">
      <w:pPr>
        <w:jc w:val="center"/>
        <w:rPr>
          <w:sz w:val="22"/>
          <w:szCs w:val="22"/>
        </w:rPr>
      </w:pPr>
    </w:p>
    <w:p w:rsidR="00194AA6" w:rsidRPr="00194AA6" w:rsidRDefault="00194AA6" w:rsidP="00194AA6">
      <w:pPr>
        <w:pStyle w:val="Heading4"/>
        <w:spacing w:after="120"/>
        <w:rPr>
          <w:bCs/>
          <w:szCs w:val="22"/>
        </w:rPr>
      </w:pPr>
      <w:r w:rsidRPr="00194AA6">
        <w:rPr>
          <w:bCs/>
          <w:szCs w:val="22"/>
        </w:rPr>
        <w:t>APPLICANT</w:t>
      </w:r>
    </w:p>
    <w:p w:rsidR="00194AA6" w:rsidRDefault="0060062E" w:rsidP="00194AA6">
      <w:pPr>
        <w:widowControl w:val="0"/>
        <w:jc w:val="center"/>
        <w:rPr>
          <w:sz w:val="22"/>
          <w:szCs w:val="22"/>
        </w:rPr>
      </w:pPr>
      <w:r>
        <w:rPr>
          <w:sz w:val="22"/>
          <w:szCs w:val="22"/>
        </w:rPr>
        <w:t xml:space="preserve">Georgia Pacific </w:t>
      </w:r>
      <w:r w:rsidR="00CA3932">
        <w:rPr>
          <w:sz w:val="22"/>
          <w:szCs w:val="22"/>
        </w:rPr>
        <w:t>Consumer Operations, LLC</w:t>
      </w:r>
    </w:p>
    <w:p w:rsidR="00194AA6" w:rsidRPr="004665E5" w:rsidRDefault="004665E5" w:rsidP="00194AA6">
      <w:pPr>
        <w:widowControl w:val="0"/>
        <w:jc w:val="center"/>
        <w:rPr>
          <w:sz w:val="22"/>
          <w:szCs w:val="22"/>
        </w:rPr>
      </w:pPr>
      <w:r w:rsidRPr="004665E5">
        <w:rPr>
          <w:sz w:val="22"/>
          <w:szCs w:val="22"/>
        </w:rPr>
        <w:t>Post Office</w:t>
      </w:r>
      <w:r w:rsidR="0060062E" w:rsidRPr="004665E5">
        <w:rPr>
          <w:sz w:val="22"/>
          <w:szCs w:val="22"/>
        </w:rPr>
        <w:t xml:space="preserve"> Box 919</w:t>
      </w:r>
    </w:p>
    <w:p w:rsidR="00194AA6" w:rsidRPr="00746205" w:rsidRDefault="0060062E" w:rsidP="00194AA6">
      <w:pPr>
        <w:widowControl w:val="0"/>
        <w:jc w:val="center"/>
        <w:rPr>
          <w:sz w:val="22"/>
          <w:szCs w:val="22"/>
        </w:rPr>
      </w:pPr>
      <w:r w:rsidRPr="004665E5">
        <w:rPr>
          <w:sz w:val="22"/>
          <w:szCs w:val="22"/>
        </w:rPr>
        <w:t>Palatka, FL 3217</w:t>
      </w:r>
      <w:r w:rsidR="00730EB8" w:rsidRPr="004665E5">
        <w:rPr>
          <w:sz w:val="22"/>
          <w:szCs w:val="22"/>
        </w:rPr>
        <w:t>8-0919</w:t>
      </w:r>
    </w:p>
    <w:p w:rsidR="00194AA6" w:rsidRDefault="00194AA6" w:rsidP="00194AA6">
      <w:pPr>
        <w:widowControl w:val="0"/>
        <w:jc w:val="center"/>
        <w:rPr>
          <w:sz w:val="22"/>
          <w:szCs w:val="22"/>
          <w:highlight w:val="yellow"/>
        </w:rPr>
      </w:pPr>
    </w:p>
    <w:p w:rsidR="00194AA6" w:rsidRPr="00746205" w:rsidRDefault="0060062E" w:rsidP="00194AA6">
      <w:pPr>
        <w:widowControl w:val="0"/>
        <w:jc w:val="center"/>
        <w:rPr>
          <w:sz w:val="22"/>
          <w:szCs w:val="22"/>
        </w:rPr>
      </w:pPr>
      <w:r>
        <w:rPr>
          <w:sz w:val="22"/>
          <w:szCs w:val="22"/>
        </w:rPr>
        <w:t>Palatka Mill</w:t>
      </w:r>
    </w:p>
    <w:p w:rsidR="00194AA6" w:rsidRDefault="00194AA6" w:rsidP="00194AA6">
      <w:pPr>
        <w:widowControl w:val="0"/>
        <w:jc w:val="center"/>
        <w:rPr>
          <w:sz w:val="22"/>
          <w:szCs w:val="22"/>
        </w:rPr>
      </w:pPr>
      <w:r w:rsidRPr="00746205">
        <w:rPr>
          <w:sz w:val="22"/>
          <w:szCs w:val="22"/>
        </w:rPr>
        <w:t xml:space="preserve">Facility ID No. </w:t>
      </w:r>
      <w:r w:rsidR="0060062E">
        <w:rPr>
          <w:sz w:val="22"/>
          <w:szCs w:val="22"/>
        </w:rPr>
        <w:t>1070005</w:t>
      </w:r>
    </w:p>
    <w:p w:rsidR="00194AA6" w:rsidRPr="00194AA6" w:rsidRDefault="00194AA6" w:rsidP="00194AA6">
      <w:pPr>
        <w:jc w:val="center"/>
        <w:rPr>
          <w:sz w:val="22"/>
        </w:rPr>
      </w:pPr>
    </w:p>
    <w:p w:rsidR="00194AA6" w:rsidRDefault="00194AA6" w:rsidP="00194AA6">
      <w:pPr>
        <w:jc w:val="center"/>
        <w:rPr>
          <w:sz w:val="22"/>
        </w:rPr>
      </w:pPr>
    </w:p>
    <w:p w:rsidR="003A6F59" w:rsidRPr="00194AA6" w:rsidRDefault="003A6F59" w:rsidP="00194AA6">
      <w:pPr>
        <w:jc w:val="center"/>
        <w:rPr>
          <w:sz w:val="22"/>
        </w:rPr>
      </w:pPr>
    </w:p>
    <w:p w:rsidR="00194AA6" w:rsidRPr="00194AA6" w:rsidRDefault="00194AA6" w:rsidP="00194AA6">
      <w:pPr>
        <w:jc w:val="center"/>
        <w:rPr>
          <w:sz w:val="22"/>
        </w:rPr>
      </w:pPr>
    </w:p>
    <w:p w:rsidR="00193F10" w:rsidRDefault="00193F10" w:rsidP="00194AA6">
      <w:pPr>
        <w:pStyle w:val="Heading4"/>
        <w:spacing w:after="120"/>
        <w:rPr>
          <w:bCs/>
        </w:rPr>
      </w:pPr>
      <w:r>
        <w:rPr>
          <w:bCs/>
        </w:rPr>
        <w:t>PROJECT</w:t>
      </w:r>
    </w:p>
    <w:p w:rsidR="00193F10" w:rsidRDefault="00193F10" w:rsidP="00194AA6">
      <w:pPr>
        <w:pStyle w:val="Heading1"/>
        <w:spacing w:after="0"/>
        <w:ind w:left="0"/>
        <w:jc w:val="center"/>
        <w:rPr>
          <w:sz w:val="22"/>
        </w:rPr>
      </w:pPr>
      <w:r w:rsidRPr="0060062E">
        <w:rPr>
          <w:sz w:val="22"/>
        </w:rPr>
        <w:t>P</w:t>
      </w:r>
      <w:r w:rsidR="00194AA6" w:rsidRPr="0060062E">
        <w:rPr>
          <w:sz w:val="22"/>
        </w:rPr>
        <w:t>roject</w:t>
      </w:r>
      <w:r w:rsidRPr="0060062E">
        <w:rPr>
          <w:sz w:val="22"/>
        </w:rPr>
        <w:t xml:space="preserve"> No. </w:t>
      </w:r>
      <w:r w:rsidR="0060062E" w:rsidRPr="0060062E">
        <w:rPr>
          <w:sz w:val="22"/>
        </w:rPr>
        <w:t>1070005-0</w:t>
      </w:r>
      <w:r w:rsidR="00C04FD1">
        <w:rPr>
          <w:sz w:val="22"/>
        </w:rPr>
        <w:t>7</w:t>
      </w:r>
      <w:r w:rsidR="00D756FF">
        <w:rPr>
          <w:sz w:val="22"/>
        </w:rPr>
        <w:t>9</w:t>
      </w:r>
      <w:r w:rsidR="008603FF" w:rsidRPr="0060062E">
        <w:rPr>
          <w:sz w:val="22"/>
        </w:rPr>
        <w:t>-AC</w:t>
      </w:r>
    </w:p>
    <w:p w:rsidR="00194AA6" w:rsidRDefault="00194AA6" w:rsidP="00194AA6">
      <w:pPr>
        <w:jc w:val="center"/>
        <w:rPr>
          <w:sz w:val="22"/>
        </w:rPr>
      </w:pPr>
      <w:r w:rsidRPr="004665E5">
        <w:rPr>
          <w:sz w:val="22"/>
        </w:rPr>
        <w:t xml:space="preserve">Application for </w:t>
      </w:r>
      <w:r w:rsidR="008603FF" w:rsidRPr="004665E5">
        <w:rPr>
          <w:sz w:val="22"/>
        </w:rPr>
        <w:t xml:space="preserve">Minor Source </w:t>
      </w:r>
      <w:r w:rsidRPr="004665E5">
        <w:rPr>
          <w:sz w:val="22"/>
        </w:rPr>
        <w:t>Air Construction Permit</w:t>
      </w:r>
    </w:p>
    <w:p w:rsidR="00C04FD1" w:rsidRDefault="00C04FD1" w:rsidP="00194AA6">
      <w:pPr>
        <w:jc w:val="center"/>
        <w:rPr>
          <w:sz w:val="22"/>
        </w:rPr>
      </w:pPr>
      <w:r w:rsidRPr="00C04FD1">
        <w:rPr>
          <w:sz w:val="22"/>
        </w:rPr>
        <w:t xml:space="preserve">No. </w:t>
      </w:r>
      <w:r w:rsidR="00032EC5">
        <w:rPr>
          <w:sz w:val="22"/>
        </w:rPr>
        <w:t>4</w:t>
      </w:r>
      <w:r w:rsidRPr="00C04FD1">
        <w:rPr>
          <w:sz w:val="22"/>
        </w:rPr>
        <w:t xml:space="preserve"> </w:t>
      </w:r>
      <w:r w:rsidR="00D756FF">
        <w:rPr>
          <w:sz w:val="22"/>
        </w:rPr>
        <w:t xml:space="preserve">Recovery </w:t>
      </w:r>
      <w:r w:rsidRPr="00C04FD1">
        <w:rPr>
          <w:sz w:val="22"/>
        </w:rPr>
        <w:t>Boiler</w:t>
      </w:r>
      <w:r w:rsidR="00767228">
        <w:rPr>
          <w:sz w:val="22"/>
        </w:rPr>
        <w:t>,</w:t>
      </w:r>
      <w:r w:rsidRPr="00C04FD1">
        <w:rPr>
          <w:sz w:val="22"/>
        </w:rPr>
        <w:t xml:space="preserve"> </w:t>
      </w:r>
      <w:r w:rsidR="00D756FF">
        <w:rPr>
          <w:sz w:val="22"/>
        </w:rPr>
        <w:t>Clarification to Fuel Oil Burner Capacity and Steam Generating Capacity</w:t>
      </w:r>
      <w:r w:rsidRPr="00C04FD1">
        <w:rPr>
          <w:sz w:val="22"/>
        </w:rPr>
        <w:t xml:space="preserve"> </w:t>
      </w:r>
    </w:p>
    <w:p w:rsidR="00193F10" w:rsidRDefault="00193F10" w:rsidP="00194AA6">
      <w:pPr>
        <w:jc w:val="center"/>
        <w:rPr>
          <w:sz w:val="22"/>
        </w:rPr>
      </w:pPr>
    </w:p>
    <w:p w:rsidR="00193F10" w:rsidRDefault="00193F10" w:rsidP="00194AA6">
      <w:pPr>
        <w:jc w:val="center"/>
        <w:rPr>
          <w:sz w:val="22"/>
        </w:rPr>
      </w:pPr>
    </w:p>
    <w:p w:rsidR="00193F10" w:rsidRDefault="00193F10" w:rsidP="00194AA6">
      <w:pPr>
        <w:pStyle w:val="Heading4"/>
        <w:spacing w:after="120"/>
        <w:rPr>
          <w:bCs/>
        </w:rPr>
      </w:pPr>
      <w:r>
        <w:rPr>
          <w:bCs/>
        </w:rPr>
        <w:t>COUNTY</w:t>
      </w:r>
    </w:p>
    <w:p w:rsidR="00193F10" w:rsidRPr="001D487F" w:rsidRDefault="0060062E" w:rsidP="00194AA6">
      <w:pPr>
        <w:jc w:val="center"/>
        <w:rPr>
          <w:sz w:val="22"/>
        </w:rPr>
      </w:pPr>
      <w:r>
        <w:rPr>
          <w:sz w:val="22"/>
        </w:rPr>
        <w:t>Putnam</w:t>
      </w:r>
      <w:r w:rsidR="001D1649" w:rsidRPr="001D1649">
        <w:rPr>
          <w:sz w:val="22"/>
        </w:rPr>
        <w:t xml:space="preserve"> </w:t>
      </w:r>
      <w:r w:rsidR="00193F10" w:rsidRPr="001D1649">
        <w:rPr>
          <w:sz w:val="22"/>
        </w:rPr>
        <w:t>County</w:t>
      </w:r>
      <w:r w:rsidR="001D487F">
        <w:rPr>
          <w:sz w:val="22"/>
        </w:rPr>
        <w:t>, Florida</w:t>
      </w:r>
    </w:p>
    <w:p w:rsidR="00193F10" w:rsidRDefault="00193F10" w:rsidP="00194AA6">
      <w:pPr>
        <w:jc w:val="center"/>
        <w:rPr>
          <w:sz w:val="22"/>
          <w:u w:val="single"/>
        </w:rPr>
      </w:pPr>
    </w:p>
    <w:p w:rsidR="00193F10" w:rsidRDefault="00193F10" w:rsidP="00194AA6">
      <w:pPr>
        <w:jc w:val="center"/>
        <w:rPr>
          <w:sz w:val="22"/>
          <w:u w:val="single"/>
        </w:rPr>
      </w:pPr>
    </w:p>
    <w:p w:rsidR="00193F10" w:rsidRDefault="00193F10" w:rsidP="00194AA6">
      <w:pPr>
        <w:jc w:val="center"/>
        <w:rPr>
          <w:sz w:val="22"/>
        </w:rPr>
      </w:pPr>
    </w:p>
    <w:p w:rsidR="00193F10" w:rsidRDefault="00193F10" w:rsidP="00194AA6">
      <w:pPr>
        <w:pStyle w:val="Heading8"/>
        <w:jc w:val="center"/>
      </w:pPr>
      <w:r>
        <w:t>PERMITTING</w:t>
      </w:r>
      <w:r w:rsidR="001D487F">
        <w:t xml:space="preserve"> </w:t>
      </w:r>
      <w:r>
        <w:t>AUTHORITY</w:t>
      </w:r>
    </w:p>
    <w:p w:rsidR="00194AA6" w:rsidRPr="00746205" w:rsidRDefault="00194AA6" w:rsidP="00194AA6">
      <w:pPr>
        <w:widowControl w:val="0"/>
        <w:jc w:val="center"/>
        <w:rPr>
          <w:sz w:val="22"/>
          <w:szCs w:val="22"/>
        </w:rPr>
      </w:pPr>
      <w:r w:rsidRPr="00746205">
        <w:rPr>
          <w:sz w:val="22"/>
          <w:szCs w:val="22"/>
        </w:rPr>
        <w:t>Florida Department of Environmental Protection</w:t>
      </w:r>
    </w:p>
    <w:p w:rsidR="00194AA6" w:rsidRPr="00746205" w:rsidRDefault="00D756FF" w:rsidP="00194AA6">
      <w:pPr>
        <w:widowControl w:val="0"/>
        <w:jc w:val="center"/>
        <w:rPr>
          <w:sz w:val="22"/>
          <w:szCs w:val="22"/>
        </w:rPr>
      </w:pPr>
      <w:r>
        <w:rPr>
          <w:sz w:val="22"/>
          <w:szCs w:val="22"/>
        </w:rPr>
        <w:t>Northeast District Office</w:t>
      </w:r>
    </w:p>
    <w:p w:rsidR="00503E84" w:rsidRPr="00503E84" w:rsidRDefault="00D756FF" w:rsidP="00503E84">
      <w:pPr>
        <w:widowControl w:val="0"/>
        <w:jc w:val="center"/>
        <w:rPr>
          <w:sz w:val="22"/>
          <w:szCs w:val="22"/>
        </w:rPr>
      </w:pPr>
      <w:r>
        <w:rPr>
          <w:sz w:val="22"/>
          <w:szCs w:val="22"/>
        </w:rPr>
        <w:t>Air Resource Management</w:t>
      </w:r>
    </w:p>
    <w:p w:rsidR="00194AA6" w:rsidRDefault="00D756FF" w:rsidP="00503E84">
      <w:pPr>
        <w:widowControl w:val="0"/>
        <w:jc w:val="center"/>
        <w:rPr>
          <w:sz w:val="22"/>
          <w:szCs w:val="22"/>
        </w:rPr>
      </w:pPr>
      <w:r>
        <w:rPr>
          <w:sz w:val="22"/>
          <w:szCs w:val="22"/>
        </w:rPr>
        <w:t>8800 Baymeadows Way West, Suite 100</w:t>
      </w:r>
    </w:p>
    <w:p w:rsidR="00194AA6" w:rsidRDefault="00D756FF" w:rsidP="00194AA6">
      <w:pPr>
        <w:widowControl w:val="0"/>
        <w:jc w:val="center"/>
        <w:rPr>
          <w:sz w:val="22"/>
          <w:szCs w:val="22"/>
        </w:rPr>
      </w:pPr>
      <w:r>
        <w:rPr>
          <w:sz w:val="22"/>
          <w:szCs w:val="22"/>
        </w:rPr>
        <w:t>Jacksonville</w:t>
      </w:r>
      <w:r w:rsidR="00194AA6">
        <w:rPr>
          <w:sz w:val="22"/>
          <w:szCs w:val="22"/>
        </w:rPr>
        <w:t xml:space="preserve">, </w:t>
      </w:r>
      <w:smartTag w:uri="urn:schemas-microsoft-com:office:smarttags" w:element="State">
        <w:r w:rsidR="00194AA6">
          <w:rPr>
            <w:sz w:val="22"/>
            <w:szCs w:val="22"/>
          </w:rPr>
          <w:t>Florida</w:t>
        </w:r>
      </w:smartTag>
      <w:r w:rsidR="00194AA6">
        <w:rPr>
          <w:sz w:val="22"/>
          <w:szCs w:val="22"/>
        </w:rPr>
        <w:t xml:space="preserve">  </w:t>
      </w:r>
      <w:r>
        <w:rPr>
          <w:sz w:val="22"/>
          <w:szCs w:val="22"/>
        </w:rPr>
        <w:t>32256</w:t>
      </w:r>
    </w:p>
    <w:p w:rsidR="00193F10" w:rsidRDefault="00193F10" w:rsidP="00194AA6">
      <w:pPr>
        <w:jc w:val="center"/>
        <w:rPr>
          <w:sz w:val="22"/>
        </w:rPr>
      </w:pPr>
    </w:p>
    <w:p w:rsidR="00193F10" w:rsidRDefault="00193F10" w:rsidP="00194AA6">
      <w:pPr>
        <w:jc w:val="center"/>
        <w:rPr>
          <w:sz w:val="22"/>
        </w:rPr>
      </w:pPr>
    </w:p>
    <w:p w:rsidR="00193F10" w:rsidRPr="001D487F" w:rsidRDefault="00D756FF" w:rsidP="00194AA6">
      <w:pPr>
        <w:jc w:val="center"/>
        <w:rPr>
          <w:sz w:val="22"/>
        </w:rPr>
      </w:pPr>
      <w:r>
        <w:rPr>
          <w:sz w:val="22"/>
        </w:rPr>
        <w:t xml:space="preserve">January </w:t>
      </w:r>
      <w:r w:rsidR="00252CA9">
        <w:rPr>
          <w:sz w:val="22"/>
        </w:rPr>
        <w:t>2</w:t>
      </w:r>
      <w:r w:rsidR="00D132FA">
        <w:rPr>
          <w:sz w:val="22"/>
        </w:rPr>
        <w:t>5</w:t>
      </w:r>
      <w:r w:rsidR="00330E51">
        <w:rPr>
          <w:sz w:val="22"/>
        </w:rPr>
        <w:t>, 201</w:t>
      </w:r>
      <w:r>
        <w:rPr>
          <w:sz w:val="22"/>
        </w:rPr>
        <w:t>3</w:t>
      </w:r>
    </w:p>
    <w:p w:rsidR="00193F10" w:rsidRDefault="00193F10" w:rsidP="00194AA6">
      <w:pPr>
        <w:jc w:val="center"/>
        <w:rPr>
          <w:sz w:val="22"/>
        </w:rPr>
      </w:pPr>
    </w:p>
    <w:p w:rsidR="00193F10" w:rsidRDefault="00193F10" w:rsidP="00194AA6">
      <w:pPr>
        <w:jc w:val="center"/>
        <w:rPr>
          <w:sz w:val="22"/>
        </w:rPr>
      </w:pPr>
    </w:p>
    <w:p w:rsidR="00193F10" w:rsidRDefault="00193F10" w:rsidP="00194AA6">
      <w:pPr>
        <w:jc w:val="center"/>
        <w:rPr>
          <w:sz w:val="22"/>
        </w:rPr>
      </w:pPr>
    </w:p>
    <w:p w:rsidR="00193F10" w:rsidRDefault="00193F10" w:rsidP="00194AA6">
      <w:pPr>
        <w:jc w:val="center"/>
        <w:rPr>
          <w:sz w:val="22"/>
        </w:rPr>
      </w:pPr>
    </w:p>
    <w:p w:rsidR="00193F10" w:rsidRPr="00D07B72" w:rsidRDefault="00193F10" w:rsidP="00194AA6">
      <w:pPr>
        <w:jc w:val="center"/>
        <w:rPr>
          <w:sz w:val="22"/>
          <w:szCs w:val="22"/>
        </w:rPr>
      </w:pPr>
    </w:p>
    <w:p w:rsidR="00193F10" w:rsidRDefault="00193F10">
      <w:pPr>
        <w:jc w:val="center"/>
        <w:rPr>
          <w:sz w:val="22"/>
        </w:rPr>
        <w:sectPr w:rsidR="00193F10" w:rsidSect="00B80226">
          <w:pgSz w:w="12240" w:h="15840" w:code="1"/>
          <w:pgMar w:top="720" w:right="1080" w:bottom="720" w:left="1080" w:header="720" w:footer="720" w:gutter="0"/>
          <w:paperSrc w:first="15" w:other="15"/>
          <w:pgNumType w:start="1"/>
          <w:cols w:space="720"/>
        </w:sectPr>
      </w:pPr>
    </w:p>
    <w:p w:rsidR="00193F10" w:rsidRDefault="00193F10">
      <w:pPr>
        <w:spacing w:after="120"/>
        <w:rPr>
          <w:b/>
          <w:caps/>
          <w:sz w:val="22"/>
        </w:rPr>
      </w:pPr>
      <w:r>
        <w:rPr>
          <w:b/>
          <w:caps/>
          <w:sz w:val="22"/>
        </w:rPr>
        <w:lastRenderedPageBreak/>
        <w:t>1.  General Project INFORMATION</w:t>
      </w:r>
    </w:p>
    <w:p w:rsidR="00EE6112" w:rsidRPr="004D523F" w:rsidRDefault="00EE6112" w:rsidP="00EE6112">
      <w:pPr>
        <w:pStyle w:val="Heading9"/>
        <w:keepNext w:val="0"/>
        <w:widowControl w:val="0"/>
        <w:ind w:left="0"/>
        <w:rPr>
          <w:b/>
          <w:bCs/>
          <w:szCs w:val="22"/>
          <w:u w:val="none"/>
        </w:rPr>
      </w:pPr>
      <w:r w:rsidRPr="004D523F">
        <w:rPr>
          <w:b/>
          <w:bCs/>
          <w:szCs w:val="22"/>
          <w:u w:val="none"/>
        </w:rPr>
        <w:t>Air Pollution Regul</w:t>
      </w:r>
      <w:r>
        <w:rPr>
          <w:b/>
          <w:bCs/>
          <w:szCs w:val="22"/>
          <w:u w:val="none"/>
        </w:rPr>
        <w:t>a</w:t>
      </w:r>
      <w:r w:rsidRPr="004D523F">
        <w:rPr>
          <w:b/>
          <w:bCs/>
          <w:szCs w:val="22"/>
          <w:u w:val="none"/>
        </w:rPr>
        <w:t>tions</w:t>
      </w:r>
    </w:p>
    <w:p w:rsidR="00EE6112" w:rsidRDefault="00EE6112" w:rsidP="00EE6112">
      <w:pPr>
        <w:spacing w:after="120"/>
        <w:rPr>
          <w:sz w:val="22"/>
          <w:szCs w:val="22"/>
        </w:rPr>
      </w:pPr>
      <w:r>
        <w:rPr>
          <w:sz w:val="22"/>
          <w:szCs w:val="22"/>
        </w:rPr>
        <w:t xml:space="preserve">Projects </w:t>
      </w:r>
      <w:r w:rsidR="004D1D9F">
        <w:rPr>
          <w:sz w:val="22"/>
          <w:szCs w:val="22"/>
        </w:rPr>
        <w:t xml:space="preserve">at stationary sources </w:t>
      </w:r>
      <w:r>
        <w:rPr>
          <w:sz w:val="22"/>
          <w:szCs w:val="22"/>
        </w:rPr>
        <w:t xml:space="preserve">with the potential to emit air pollution are </w:t>
      </w:r>
      <w:r w:rsidRPr="000302D6">
        <w:rPr>
          <w:sz w:val="22"/>
          <w:szCs w:val="22"/>
        </w:rPr>
        <w:t>subject to the applicable environmental laws specified in Section 403 of the Florida Statutes (F.S.)</w:t>
      </w:r>
      <w:r>
        <w:rPr>
          <w:sz w:val="22"/>
          <w:szCs w:val="22"/>
        </w:rPr>
        <w:t xml:space="preserve">.  The statutes </w:t>
      </w:r>
      <w:r w:rsidRPr="000302D6">
        <w:rPr>
          <w:sz w:val="22"/>
          <w:szCs w:val="22"/>
        </w:rPr>
        <w:t>authoriz</w:t>
      </w:r>
      <w:r w:rsidR="000C5143">
        <w:rPr>
          <w:sz w:val="22"/>
          <w:szCs w:val="22"/>
        </w:rPr>
        <w:t>e</w:t>
      </w:r>
      <w:r w:rsidRPr="000302D6">
        <w:rPr>
          <w:sz w:val="22"/>
          <w:szCs w:val="22"/>
        </w:rPr>
        <w:t xml:space="preserve"> the Department of Environmental Protection </w:t>
      </w:r>
      <w:r>
        <w:rPr>
          <w:sz w:val="22"/>
          <w:szCs w:val="22"/>
        </w:rPr>
        <w:t xml:space="preserve">(Department) </w:t>
      </w:r>
      <w:r w:rsidRPr="000302D6">
        <w:rPr>
          <w:sz w:val="22"/>
          <w:szCs w:val="22"/>
        </w:rPr>
        <w:t xml:space="preserve">to establish regulations regarding air quality as part of the Florida Administrative Code (F.A.C.), which includes the following </w:t>
      </w:r>
      <w:r w:rsidR="00701FEF">
        <w:rPr>
          <w:sz w:val="22"/>
          <w:szCs w:val="22"/>
        </w:rPr>
        <w:t xml:space="preserve">applicable </w:t>
      </w:r>
      <w:r w:rsidRPr="000302D6">
        <w:rPr>
          <w:sz w:val="22"/>
          <w:szCs w:val="22"/>
        </w:rPr>
        <w:t>chapters:  62-4 (Permits); 62-204 (Air Pollution Control – General Provisions); 62-210 (Stationary Sources – General Requirements); 62-212 (Stationary Sources</w:t>
      </w:r>
      <w:r w:rsidR="00D51D78" w:rsidRPr="000302D6">
        <w:rPr>
          <w:sz w:val="22"/>
          <w:szCs w:val="22"/>
        </w:rPr>
        <w:t xml:space="preserve"> – </w:t>
      </w:r>
      <w:r w:rsidRPr="000302D6">
        <w:rPr>
          <w:sz w:val="22"/>
          <w:szCs w:val="22"/>
        </w:rPr>
        <w:t>Preconstruction Review); 62-213 (Operation Permits for Major Sources of Air Pollution); 62-296 (Stationary Sources - Emission Standards); and 62-297 (Stationary Sources</w:t>
      </w:r>
      <w:r w:rsidR="00D51D78" w:rsidRPr="000302D6">
        <w:rPr>
          <w:sz w:val="22"/>
          <w:szCs w:val="22"/>
        </w:rPr>
        <w:t xml:space="preserve"> – </w:t>
      </w:r>
      <w:r w:rsidRPr="000302D6">
        <w:rPr>
          <w:sz w:val="22"/>
          <w:szCs w:val="22"/>
        </w:rPr>
        <w:t>Emissions Monitoring).</w:t>
      </w:r>
      <w:r>
        <w:rPr>
          <w:sz w:val="22"/>
          <w:szCs w:val="22"/>
        </w:rPr>
        <w:t xml:space="preserve">  Specifically, air construction permits are required pursuant to Rules 62-4, 62-210 and 62-212, F.A.C.</w:t>
      </w:r>
    </w:p>
    <w:p w:rsidR="00EE6112" w:rsidRPr="000302D6" w:rsidRDefault="00EE6112" w:rsidP="00EE6112">
      <w:pPr>
        <w:spacing w:after="120"/>
        <w:rPr>
          <w:sz w:val="22"/>
          <w:szCs w:val="22"/>
        </w:rPr>
      </w:pPr>
      <w:r w:rsidRPr="000302D6">
        <w:rPr>
          <w:sz w:val="22"/>
          <w:szCs w:val="22"/>
        </w:rPr>
        <w:t>In addition, the U. S. Environmental Protection Agency (EPA) establishes air quality regulations in Title 40 of the Code of Federal Regulations</w:t>
      </w:r>
      <w:r>
        <w:rPr>
          <w:sz w:val="22"/>
          <w:szCs w:val="22"/>
        </w:rPr>
        <w:t xml:space="preserve"> (CFR).  </w:t>
      </w:r>
      <w:r w:rsidRPr="000302D6">
        <w:rPr>
          <w:sz w:val="22"/>
          <w:szCs w:val="22"/>
        </w:rPr>
        <w:t xml:space="preserve">Part 60 </w:t>
      </w:r>
      <w:r>
        <w:rPr>
          <w:sz w:val="22"/>
          <w:szCs w:val="22"/>
        </w:rPr>
        <w:t>specifies New Source Performance Standards (</w:t>
      </w:r>
      <w:r w:rsidRPr="000302D6">
        <w:rPr>
          <w:sz w:val="22"/>
          <w:szCs w:val="22"/>
        </w:rPr>
        <w:t>NSPS</w:t>
      </w:r>
      <w:r>
        <w:rPr>
          <w:sz w:val="22"/>
          <w:szCs w:val="22"/>
        </w:rPr>
        <w:t>)</w:t>
      </w:r>
      <w:r w:rsidRPr="000302D6">
        <w:rPr>
          <w:sz w:val="22"/>
          <w:szCs w:val="22"/>
        </w:rPr>
        <w:t xml:space="preserve"> for </w:t>
      </w:r>
      <w:r>
        <w:rPr>
          <w:sz w:val="22"/>
          <w:szCs w:val="22"/>
        </w:rPr>
        <w:t xml:space="preserve">numerous </w:t>
      </w:r>
      <w:r w:rsidRPr="000302D6">
        <w:rPr>
          <w:sz w:val="22"/>
          <w:szCs w:val="22"/>
        </w:rPr>
        <w:t xml:space="preserve">industrial </w:t>
      </w:r>
      <w:r w:rsidR="000E42D3" w:rsidRPr="000302D6">
        <w:rPr>
          <w:sz w:val="22"/>
          <w:szCs w:val="22"/>
        </w:rPr>
        <w:t>categories</w:t>
      </w:r>
      <w:r>
        <w:rPr>
          <w:sz w:val="22"/>
          <w:szCs w:val="22"/>
        </w:rPr>
        <w:t xml:space="preserve">.  </w:t>
      </w:r>
      <w:r w:rsidRPr="000302D6">
        <w:rPr>
          <w:sz w:val="22"/>
          <w:szCs w:val="22"/>
        </w:rPr>
        <w:t>Part 61 specifies National Emission Standards for Hazardous Air Pollutants (NESHAP) based on specific pollutants</w:t>
      </w:r>
      <w:r>
        <w:rPr>
          <w:sz w:val="22"/>
          <w:szCs w:val="22"/>
        </w:rPr>
        <w:t xml:space="preserve">.  </w:t>
      </w:r>
      <w:r w:rsidRPr="000302D6">
        <w:rPr>
          <w:sz w:val="22"/>
          <w:szCs w:val="22"/>
        </w:rPr>
        <w:t xml:space="preserve">Part 63 specifies NESHAP based on the Maximum Achievable Control Technology (MACT) for </w:t>
      </w:r>
      <w:r>
        <w:rPr>
          <w:sz w:val="22"/>
          <w:szCs w:val="22"/>
        </w:rPr>
        <w:t xml:space="preserve">numerous </w:t>
      </w:r>
      <w:r w:rsidRPr="000302D6">
        <w:rPr>
          <w:sz w:val="22"/>
          <w:szCs w:val="22"/>
        </w:rPr>
        <w:t xml:space="preserve">industrial categories.  The Department adopts these federal regulations </w:t>
      </w:r>
      <w:r>
        <w:rPr>
          <w:sz w:val="22"/>
          <w:szCs w:val="22"/>
        </w:rPr>
        <w:t xml:space="preserve">on a quarterly basis </w:t>
      </w:r>
      <w:r w:rsidRPr="000302D6">
        <w:rPr>
          <w:sz w:val="22"/>
          <w:szCs w:val="22"/>
        </w:rPr>
        <w:t>in Rule 62-204.800, F.A.C.</w:t>
      </w:r>
    </w:p>
    <w:p w:rsidR="00D262B1" w:rsidRPr="00D262B1" w:rsidRDefault="00D262B1" w:rsidP="00D262B1">
      <w:pPr>
        <w:pStyle w:val="BodyText"/>
        <w:numPr>
          <w:ilvl w:val="12"/>
          <w:numId w:val="0"/>
        </w:numPr>
        <w:rPr>
          <w:b/>
          <w:sz w:val="22"/>
          <w:szCs w:val="22"/>
        </w:rPr>
      </w:pPr>
      <w:r w:rsidRPr="00D262B1">
        <w:rPr>
          <w:b/>
          <w:sz w:val="22"/>
          <w:szCs w:val="22"/>
        </w:rPr>
        <w:t>Glossary of Common Terms</w:t>
      </w:r>
    </w:p>
    <w:p w:rsidR="00D262B1" w:rsidRPr="004D1D9F" w:rsidRDefault="00D262B1" w:rsidP="00D262B1">
      <w:pPr>
        <w:pStyle w:val="BodyText"/>
        <w:numPr>
          <w:ilvl w:val="12"/>
          <w:numId w:val="0"/>
        </w:numPr>
        <w:rPr>
          <w:sz w:val="22"/>
          <w:szCs w:val="22"/>
        </w:rPr>
      </w:pPr>
      <w:r w:rsidRPr="004D1D9F">
        <w:rPr>
          <w:sz w:val="22"/>
          <w:szCs w:val="22"/>
        </w:rPr>
        <w:t>Because of the technical nature of the project, the permit contains numerous acronyms and abbreviations</w:t>
      </w:r>
      <w:r w:rsidR="00565A8A">
        <w:rPr>
          <w:sz w:val="22"/>
          <w:szCs w:val="22"/>
        </w:rPr>
        <w:t xml:space="preserve">.  Please refer </w:t>
      </w:r>
      <w:r w:rsidR="00565A8A" w:rsidRPr="00565A8A">
        <w:rPr>
          <w:sz w:val="22"/>
          <w:szCs w:val="22"/>
        </w:rPr>
        <w:t xml:space="preserve">to </w:t>
      </w:r>
      <w:r w:rsidRPr="004D1D9F">
        <w:rPr>
          <w:sz w:val="22"/>
          <w:szCs w:val="22"/>
        </w:rPr>
        <w:t xml:space="preserve">Appendix A </w:t>
      </w:r>
      <w:r w:rsidR="00565A8A">
        <w:rPr>
          <w:sz w:val="22"/>
        </w:rPr>
        <w:t xml:space="preserve">for definitions of </w:t>
      </w:r>
      <w:r w:rsidR="00565A8A" w:rsidRPr="004D1D9F">
        <w:rPr>
          <w:sz w:val="22"/>
          <w:szCs w:val="22"/>
        </w:rPr>
        <w:t>acronyms and abbreviations</w:t>
      </w:r>
      <w:r w:rsidR="00565A8A">
        <w:rPr>
          <w:sz w:val="22"/>
          <w:szCs w:val="22"/>
        </w:rPr>
        <w:t xml:space="preserve"> used herein</w:t>
      </w:r>
      <w:r w:rsidRPr="004D1D9F">
        <w:rPr>
          <w:sz w:val="22"/>
          <w:szCs w:val="22"/>
        </w:rPr>
        <w:t>.</w:t>
      </w:r>
    </w:p>
    <w:p w:rsidR="00193F10" w:rsidRDefault="00193F10">
      <w:pPr>
        <w:pStyle w:val="Heading9"/>
        <w:ind w:left="0"/>
        <w:rPr>
          <w:b/>
          <w:bCs/>
          <w:u w:val="none"/>
        </w:rPr>
      </w:pPr>
      <w:r>
        <w:rPr>
          <w:b/>
          <w:bCs/>
          <w:u w:val="none"/>
        </w:rPr>
        <w:t>Facility Description and Location</w:t>
      </w:r>
    </w:p>
    <w:p w:rsidR="00193F10" w:rsidRDefault="00940F63" w:rsidP="004D1D9F">
      <w:pPr>
        <w:pStyle w:val="BodyText3"/>
        <w:numPr>
          <w:ilvl w:val="12"/>
          <w:numId w:val="0"/>
        </w:numPr>
        <w:spacing w:before="0"/>
      </w:pPr>
      <w:r w:rsidRPr="00940F63">
        <w:t xml:space="preserve">The Palatka Mill </w:t>
      </w:r>
      <w:r w:rsidR="00302267" w:rsidRPr="00940F63">
        <w:t>is</w:t>
      </w:r>
      <w:r>
        <w:t xml:space="preserve"> </w:t>
      </w:r>
      <w:r w:rsidRPr="00940F63">
        <w:t xml:space="preserve">an </w:t>
      </w:r>
      <w:r w:rsidR="004D1D9F" w:rsidRPr="00940F63">
        <w:t>existing</w:t>
      </w:r>
      <w:r w:rsidR="001D1649" w:rsidRPr="00940F63">
        <w:t xml:space="preserve"> </w:t>
      </w:r>
      <w:r w:rsidRPr="00940F63">
        <w:t>Kraft</w:t>
      </w:r>
      <w:r>
        <w:t xml:space="preserve"> pulp and paper mill</w:t>
      </w:r>
      <w:r w:rsidR="001D1649" w:rsidRPr="001C4E37">
        <w:t xml:space="preserve">, which is categorized </w:t>
      </w:r>
      <w:r w:rsidR="001D1649">
        <w:t xml:space="preserve">under </w:t>
      </w:r>
      <w:r w:rsidR="001D1649" w:rsidRPr="001C4E37">
        <w:rPr>
          <w:bCs/>
        </w:rPr>
        <w:t xml:space="preserve">Standard Industrial Classification Code No. </w:t>
      </w:r>
      <w:r>
        <w:rPr>
          <w:bCs/>
        </w:rPr>
        <w:t>2611</w:t>
      </w:r>
      <w:r w:rsidR="001D1649" w:rsidRPr="001C4E37">
        <w:rPr>
          <w:bCs/>
        </w:rPr>
        <w:t>.</w:t>
      </w:r>
      <w:r w:rsidR="001D1649">
        <w:rPr>
          <w:bCs/>
        </w:rPr>
        <w:t xml:space="preserve"> </w:t>
      </w:r>
      <w:r w:rsidR="001C4E37">
        <w:t xml:space="preserve"> </w:t>
      </w:r>
      <w:r w:rsidR="00302267">
        <w:t>T</w:t>
      </w:r>
      <w:r w:rsidR="00302267" w:rsidRPr="004357DC">
        <w:rPr>
          <w:szCs w:val="22"/>
        </w:rPr>
        <w:t xml:space="preserve">he </w:t>
      </w:r>
      <w:r w:rsidR="00302267" w:rsidRPr="00940F63">
        <w:rPr>
          <w:szCs w:val="22"/>
        </w:rPr>
        <w:t xml:space="preserve">existing </w:t>
      </w:r>
      <w:r w:rsidRPr="00940F63">
        <w:rPr>
          <w:szCs w:val="22"/>
        </w:rPr>
        <w:t xml:space="preserve">Palatka Mill </w:t>
      </w:r>
      <w:r w:rsidR="00302267" w:rsidRPr="00940F63">
        <w:rPr>
          <w:szCs w:val="22"/>
        </w:rPr>
        <w:t>is located</w:t>
      </w:r>
      <w:r w:rsidR="00302267" w:rsidRPr="004357DC">
        <w:rPr>
          <w:szCs w:val="22"/>
        </w:rPr>
        <w:t xml:space="preserve"> in </w:t>
      </w:r>
      <w:r>
        <w:rPr>
          <w:szCs w:val="22"/>
        </w:rPr>
        <w:t>Putnam</w:t>
      </w:r>
      <w:r w:rsidR="00302267" w:rsidRPr="004357DC">
        <w:rPr>
          <w:szCs w:val="22"/>
        </w:rPr>
        <w:t xml:space="preserve"> County at </w:t>
      </w:r>
      <w:r>
        <w:rPr>
          <w:szCs w:val="22"/>
        </w:rPr>
        <w:t>215 County Road 216</w:t>
      </w:r>
      <w:r w:rsidR="00302267">
        <w:rPr>
          <w:szCs w:val="22"/>
        </w:rPr>
        <w:t xml:space="preserve"> in</w:t>
      </w:r>
      <w:r w:rsidR="00302267" w:rsidRPr="004357DC">
        <w:rPr>
          <w:szCs w:val="22"/>
        </w:rPr>
        <w:t xml:space="preserve"> </w:t>
      </w:r>
      <w:r w:rsidRPr="00940F63">
        <w:rPr>
          <w:szCs w:val="22"/>
        </w:rPr>
        <w:t>Palatka</w:t>
      </w:r>
      <w:r w:rsidR="00302267" w:rsidRPr="00940F63">
        <w:rPr>
          <w:szCs w:val="22"/>
        </w:rPr>
        <w:t>, Florida</w:t>
      </w:r>
      <w:r w:rsidR="00F71458" w:rsidRPr="00940F63">
        <w:t xml:space="preserve">.  </w:t>
      </w:r>
      <w:r w:rsidR="00193F10" w:rsidRPr="00940F63">
        <w:t>The</w:t>
      </w:r>
      <w:r w:rsidR="00193F10">
        <w:t xml:space="preserve"> UTM coordinates </w:t>
      </w:r>
      <w:r w:rsidR="001D487F">
        <w:t xml:space="preserve">of the </w:t>
      </w:r>
      <w:r w:rsidR="001D487F" w:rsidRPr="00940F63">
        <w:t>existing facility</w:t>
      </w:r>
      <w:r w:rsidR="001D487F">
        <w:t xml:space="preserve"> </w:t>
      </w:r>
      <w:r w:rsidR="00193F10">
        <w:t xml:space="preserve">are </w:t>
      </w:r>
      <w:r w:rsidRPr="000472DA">
        <w:rPr>
          <w:szCs w:val="22"/>
        </w:rPr>
        <w:t xml:space="preserve">Zone </w:t>
      </w:r>
      <w:r>
        <w:rPr>
          <w:szCs w:val="22"/>
        </w:rPr>
        <w:t>17</w:t>
      </w:r>
      <w:r w:rsidRPr="000472DA">
        <w:rPr>
          <w:szCs w:val="22"/>
        </w:rPr>
        <w:t xml:space="preserve">, </w:t>
      </w:r>
      <w:r>
        <w:rPr>
          <w:szCs w:val="22"/>
        </w:rPr>
        <w:t>434.00</w:t>
      </w:r>
      <w:r w:rsidRPr="000472DA">
        <w:rPr>
          <w:szCs w:val="22"/>
        </w:rPr>
        <w:t xml:space="preserve"> </w:t>
      </w:r>
      <w:r w:rsidR="004665E5">
        <w:rPr>
          <w:szCs w:val="22"/>
        </w:rPr>
        <w:t>kilometers (</w:t>
      </w:r>
      <w:r w:rsidRPr="000472DA">
        <w:rPr>
          <w:szCs w:val="22"/>
        </w:rPr>
        <w:t>km</w:t>
      </w:r>
      <w:r w:rsidR="004665E5">
        <w:rPr>
          <w:szCs w:val="22"/>
        </w:rPr>
        <w:t>)</w:t>
      </w:r>
      <w:r w:rsidRPr="000472DA">
        <w:rPr>
          <w:szCs w:val="22"/>
        </w:rPr>
        <w:t xml:space="preserve"> East and </w:t>
      </w:r>
      <w:r>
        <w:rPr>
          <w:szCs w:val="22"/>
        </w:rPr>
        <w:t>3,283.4</w:t>
      </w:r>
      <w:r w:rsidRPr="000472DA">
        <w:rPr>
          <w:szCs w:val="22"/>
        </w:rPr>
        <w:t xml:space="preserve"> km North.  </w:t>
      </w:r>
      <w:r w:rsidR="00193F10">
        <w:t>This site is in an area that is in attainment (or designated as unclassifiable) for all air</w:t>
      </w:r>
      <w:r w:rsidR="001D487F">
        <w:t xml:space="preserve"> pollutants subject to </w:t>
      </w:r>
      <w:r w:rsidR="00F71458">
        <w:t xml:space="preserve">state and federal </w:t>
      </w:r>
      <w:r w:rsidR="00193F10">
        <w:t>Ambient Air Quality Standard</w:t>
      </w:r>
      <w:r w:rsidR="001D487F">
        <w:t>s</w:t>
      </w:r>
      <w:r w:rsidR="00F71458">
        <w:t xml:space="preserve"> (</w:t>
      </w:r>
      <w:r w:rsidR="00193F10">
        <w:t>AAQS).</w:t>
      </w:r>
    </w:p>
    <w:p w:rsidR="00193F10" w:rsidRDefault="001C4E37">
      <w:pPr>
        <w:pStyle w:val="Heading9"/>
        <w:ind w:left="0"/>
        <w:rPr>
          <w:b/>
          <w:bCs/>
          <w:u w:val="none"/>
        </w:rPr>
      </w:pPr>
      <w:r>
        <w:rPr>
          <w:b/>
          <w:bCs/>
          <w:u w:val="none"/>
        </w:rPr>
        <w:t xml:space="preserve">Facility </w:t>
      </w:r>
      <w:r w:rsidR="00193F10">
        <w:rPr>
          <w:b/>
          <w:bCs/>
          <w:u w:val="none"/>
        </w:rPr>
        <w:t>Regulatory Categories</w:t>
      </w:r>
    </w:p>
    <w:p w:rsidR="00F71458" w:rsidRPr="00940F63" w:rsidRDefault="00F71458" w:rsidP="00F71458">
      <w:pPr>
        <w:numPr>
          <w:ilvl w:val="0"/>
          <w:numId w:val="3"/>
        </w:numPr>
        <w:spacing w:after="120"/>
        <w:rPr>
          <w:sz w:val="22"/>
          <w:szCs w:val="22"/>
        </w:rPr>
      </w:pPr>
      <w:r w:rsidRPr="00877418">
        <w:rPr>
          <w:sz w:val="22"/>
          <w:szCs w:val="22"/>
        </w:rPr>
        <w:t xml:space="preserve">The </w:t>
      </w:r>
      <w:r w:rsidRPr="00940F63">
        <w:rPr>
          <w:sz w:val="22"/>
          <w:szCs w:val="22"/>
        </w:rPr>
        <w:t>facility is a major source of hazardous air pollutants (HAP).</w:t>
      </w:r>
    </w:p>
    <w:p w:rsidR="00F71458" w:rsidRPr="00940F63" w:rsidRDefault="00F71458" w:rsidP="00F71458">
      <w:pPr>
        <w:pStyle w:val="BodyText"/>
        <w:numPr>
          <w:ilvl w:val="0"/>
          <w:numId w:val="3"/>
        </w:numPr>
        <w:rPr>
          <w:sz w:val="22"/>
          <w:szCs w:val="22"/>
        </w:rPr>
      </w:pPr>
      <w:r w:rsidRPr="00940F63">
        <w:rPr>
          <w:sz w:val="22"/>
          <w:szCs w:val="22"/>
        </w:rPr>
        <w:t xml:space="preserve">The facility </w:t>
      </w:r>
      <w:r w:rsidR="00302267" w:rsidRPr="00940F63">
        <w:rPr>
          <w:sz w:val="22"/>
          <w:szCs w:val="22"/>
        </w:rPr>
        <w:t xml:space="preserve">does not operate </w:t>
      </w:r>
      <w:r w:rsidRPr="00940F63">
        <w:rPr>
          <w:sz w:val="22"/>
          <w:szCs w:val="22"/>
        </w:rPr>
        <w:t>units subject to the acid rain provisions of the Clean Air Act.</w:t>
      </w:r>
    </w:p>
    <w:p w:rsidR="00F71458" w:rsidRPr="00940F63" w:rsidRDefault="00F71458" w:rsidP="00F71458">
      <w:pPr>
        <w:numPr>
          <w:ilvl w:val="0"/>
          <w:numId w:val="3"/>
        </w:numPr>
        <w:spacing w:after="120"/>
        <w:rPr>
          <w:sz w:val="22"/>
          <w:szCs w:val="22"/>
        </w:rPr>
      </w:pPr>
      <w:r w:rsidRPr="00940F63">
        <w:rPr>
          <w:sz w:val="22"/>
          <w:szCs w:val="22"/>
        </w:rPr>
        <w:t>The facility is a Title V major source of air pollution in accordance with Chapter 213, F.A.C.</w:t>
      </w:r>
    </w:p>
    <w:p w:rsidR="00F71458" w:rsidRDefault="00F71458" w:rsidP="00F71458">
      <w:pPr>
        <w:numPr>
          <w:ilvl w:val="0"/>
          <w:numId w:val="3"/>
        </w:numPr>
        <w:spacing w:after="120"/>
        <w:rPr>
          <w:sz w:val="22"/>
          <w:szCs w:val="22"/>
        </w:rPr>
      </w:pPr>
      <w:r w:rsidRPr="00940F63">
        <w:rPr>
          <w:sz w:val="22"/>
          <w:szCs w:val="22"/>
        </w:rPr>
        <w:t>The facility is a major stationary</w:t>
      </w:r>
      <w:r>
        <w:rPr>
          <w:sz w:val="22"/>
          <w:szCs w:val="22"/>
        </w:rPr>
        <w:t xml:space="preserve"> source </w:t>
      </w:r>
      <w:r w:rsidRPr="00877418">
        <w:rPr>
          <w:sz w:val="22"/>
          <w:szCs w:val="22"/>
        </w:rPr>
        <w:t>in accordance with Rule 62-212.400, F.A.C.</w:t>
      </w:r>
      <w:r>
        <w:rPr>
          <w:sz w:val="22"/>
          <w:szCs w:val="22"/>
        </w:rPr>
        <w:t xml:space="preserve"> for the Prevention of Significant Deterioration (PSD) of Air Quality.</w:t>
      </w:r>
    </w:p>
    <w:p w:rsidR="00193F10" w:rsidRDefault="00193F10">
      <w:pPr>
        <w:pStyle w:val="BodyText2"/>
        <w:numPr>
          <w:ilvl w:val="0"/>
          <w:numId w:val="0"/>
        </w:numPr>
        <w:rPr>
          <w:b/>
          <w:bCs/>
        </w:rPr>
      </w:pPr>
      <w:r>
        <w:rPr>
          <w:b/>
          <w:bCs/>
        </w:rPr>
        <w:t>Project Description</w:t>
      </w:r>
    </w:p>
    <w:p w:rsidR="00812C15" w:rsidRPr="00812C15" w:rsidRDefault="00812C15" w:rsidP="00812C15">
      <w:pPr>
        <w:widowControl w:val="0"/>
        <w:spacing w:after="120"/>
        <w:rPr>
          <w:sz w:val="22"/>
          <w:szCs w:val="22"/>
        </w:rPr>
      </w:pPr>
      <w:r w:rsidRPr="001B61E5">
        <w:rPr>
          <w:strike/>
          <w:sz w:val="22"/>
          <w:szCs w:val="22"/>
        </w:rPr>
        <w:t>This permit project corrects the fuel oil burner sizes (and capacities) which were installed after issuance of permit No. 1070005-050-AC. Each startup burner installed has a maximum capacity of 375 gallons per hour (56.25 MMBtu per hour) and each load burner installed has a maximum capacity of 925 gallons per hour (138.75 MMBtu per hour). Even though these burners are significantly larger than proposed in the permit project (1070005-050-AC) no additional restrictions are required since the use of fuel oil was capped on a 24 hour basis by permit No. 1070005-050-AC to 67,680 gallons per 24 hour rolling period. This cap is significantly below the previously indicated maximum burner capacity and the actual capacity of the burners on a 24 hour rolling total basis.</w:t>
      </w:r>
      <w:r w:rsidR="001B61E5">
        <w:rPr>
          <w:sz w:val="22"/>
          <w:szCs w:val="22"/>
        </w:rPr>
        <w:t xml:space="preserve"> </w:t>
      </w:r>
      <w:r w:rsidR="001B61E5" w:rsidRPr="001B61E5">
        <w:rPr>
          <w:color w:val="FF0000"/>
          <w:sz w:val="22"/>
          <w:szCs w:val="22"/>
        </w:rPr>
        <w:t xml:space="preserve">This permit project corrects the fuel oil burner </w:t>
      </w:r>
      <w:r w:rsidR="001B61E5" w:rsidRPr="001B61E5">
        <w:rPr>
          <w:bCs/>
          <w:iCs/>
          <w:color w:val="FF0000"/>
          <w:sz w:val="22"/>
          <w:szCs w:val="22"/>
        </w:rPr>
        <w:t>maximum design</w:t>
      </w:r>
      <w:r w:rsidR="001B61E5" w:rsidRPr="001B61E5">
        <w:rPr>
          <w:color w:val="FF0000"/>
          <w:sz w:val="22"/>
          <w:szCs w:val="22"/>
        </w:rPr>
        <w:t xml:space="preserve"> capacities which </w:t>
      </w:r>
      <w:r w:rsidR="001B61E5" w:rsidRPr="001B61E5">
        <w:rPr>
          <w:bCs/>
          <w:iCs/>
          <w:color w:val="FF0000"/>
          <w:sz w:val="22"/>
          <w:szCs w:val="22"/>
        </w:rPr>
        <w:t>first appeared in the permit after the</w:t>
      </w:r>
      <w:r w:rsidR="001B61E5" w:rsidRPr="001B61E5">
        <w:rPr>
          <w:color w:val="FF0000"/>
          <w:sz w:val="22"/>
          <w:szCs w:val="22"/>
        </w:rPr>
        <w:t xml:space="preserve"> issuance of permit No. 1070005-050-AC. Each startup burner installed has a maximum capacity of 375 gallons per hour (56.25 MMBtu per hour) and each load burner installed has a maximum capacity of 925 gallons per hour (138.75 MMBtu per hour). Even though these burners </w:t>
      </w:r>
      <w:r w:rsidR="001B61E5" w:rsidRPr="001B61E5">
        <w:rPr>
          <w:bCs/>
          <w:iCs/>
          <w:color w:val="FF0000"/>
          <w:sz w:val="22"/>
          <w:szCs w:val="22"/>
        </w:rPr>
        <w:t>capacities</w:t>
      </w:r>
      <w:r w:rsidR="001B61E5" w:rsidRPr="001B61E5">
        <w:rPr>
          <w:color w:val="FF0000"/>
          <w:sz w:val="22"/>
          <w:szCs w:val="22"/>
        </w:rPr>
        <w:t xml:space="preserve"> are significantly larger than </w:t>
      </w:r>
      <w:r w:rsidR="001B61E5" w:rsidRPr="001B61E5">
        <w:rPr>
          <w:bCs/>
          <w:iCs/>
          <w:color w:val="FF0000"/>
          <w:sz w:val="22"/>
          <w:szCs w:val="22"/>
        </w:rPr>
        <w:t>those identified</w:t>
      </w:r>
      <w:r w:rsidR="001B61E5" w:rsidRPr="001B61E5">
        <w:rPr>
          <w:color w:val="FF0000"/>
          <w:sz w:val="22"/>
          <w:szCs w:val="22"/>
        </w:rPr>
        <w:t xml:space="preserve"> in the permit project (1070005-050-AC), </w:t>
      </w:r>
      <w:r w:rsidR="001B61E5" w:rsidRPr="001B61E5">
        <w:rPr>
          <w:bCs/>
          <w:iCs/>
          <w:color w:val="FF0000"/>
          <w:sz w:val="22"/>
          <w:szCs w:val="22"/>
        </w:rPr>
        <w:t>the design maximum burner capacities are strictly informational and</w:t>
      </w:r>
      <w:r w:rsidR="001B61E5" w:rsidRPr="001B61E5">
        <w:rPr>
          <w:color w:val="FF0000"/>
          <w:sz w:val="22"/>
          <w:szCs w:val="22"/>
        </w:rPr>
        <w:t xml:space="preserve"> no additional restrictions are required since the use of fuel oil was capped on a 24 hour basis by permit No. 1070005-050-AC to 67,680 gallons per 24 hour rolling period. This cap is</w:t>
      </w:r>
      <w:r w:rsidR="001B61E5" w:rsidRPr="001B61E5">
        <w:rPr>
          <w:bCs/>
          <w:iCs/>
          <w:color w:val="FF0000"/>
          <w:sz w:val="22"/>
          <w:szCs w:val="22"/>
        </w:rPr>
        <w:t xml:space="preserve"> 42%</w:t>
      </w:r>
      <w:r w:rsidR="001B61E5" w:rsidRPr="001B61E5">
        <w:rPr>
          <w:color w:val="FF0000"/>
          <w:sz w:val="22"/>
          <w:szCs w:val="22"/>
        </w:rPr>
        <w:t xml:space="preserve"> below the previously indicated maximum burner capacity and </w:t>
      </w:r>
      <w:r w:rsidR="001B61E5" w:rsidRPr="001B61E5">
        <w:rPr>
          <w:bCs/>
          <w:iCs/>
          <w:color w:val="FF0000"/>
          <w:sz w:val="22"/>
          <w:szCs w:val="22"/>
        </w:rPr>
        <w:t>68% below</w:t>
      </w:r>
      <w:r w:rsidR="001B61E5" w:rsidRPr="001B61E5">
        <w:rPr>
          <w:color w:val="FF0000"/>
          <w:sz w:val="22"/>
          <w:szCs w:val="22"/>
        </w:rPr>
        <w:t xml:space="preserve"> the </w:t>
      </w:r>
      <w:r w:rsidR="001B61E5" w:rsidRPr="001B61E5">
        <w:rPr>
          <w:bCs/>
          <w:iCs/>
          <w:color w:val="FF0000"/>
          <w:sz w:val="22"/>
          <w:szCs w:val="22"/>
        </w:rPr>
        <w:t>revised maximum</w:t>
      </w:r>
      <w:r w:rsidR="001B61E5" w:rsidRPr="001B61E5">
        <w:rPr>
          <w:color w:val="FF0000"/>
          <w:sz w:val="22"/>
          <w:szCs w:val="22"/>
        </w:rPr>
        <w:t xml:space="preserve"> </w:t>
      </w:r>
      <w:r w:rsidR="001B61E5" w:rsidRPr="001B61E5">
        <w:rPr>
          <w:bCs/>
          <w:iCs/>
          <w:color w:val="FF0000"/>
          <w:sz w:val="22"/>
          <w:szCs w:val="22"/>
        </w:rPr>
        <w:t>burner</w:t>
      </w:r>
      <w:r w:rsidR="001B61E5" w:rsidRPr="001B61E5">
        <w:rPr>
          <w:strike/>
          <w:color w:val="FF0000"/>
          <w:sz w:val="22"/>
          <w:szCs w:val="22"/>
        </w:rPr>
        <w:t xml:space="preserve"> </w:t>
      </w:r>
      <w:r w:rsidR="001B61E5" w:rsidRPr="001B61E5">
        <w:rPr>
          <w:color w:val="FF0000"/>
          <w:sz w:val="22"/>
          <w:szCs w:val="22"/>
        </w:rPr>
        <w:t>capacity on a 24 hour rolling total basis.</w:t>
      </w:r>
    </w:p>
    <w:p w:rsidR="00C74305" w:rsidRPr="004665E5" w:rsidRDefault="00812C15" w:rsidP="00812C15">
      <w:pPr>
        <w:pStyle w:val="BodyText2"/>
        <w:numPr>
          <w:ilvl w:val="0"/>
          <w:numId w:val="0"/>
        </w:numPr>
        <w:jc w:val="left"/>
        <w:rPr>
          <w:szCs w:val="22"/>
        </w:rPr>
      </w:pPr>
      <w:r w:rsidRPr="00812C15">
        <w:rPr>
          <w:szCs w:val="22"/>
        </w:rPr>
        <w:t>Additionally, the maximum steam production rate listed in the emission unit description is being removed since it is not an emission limiting standard and was not intended as a restriction. This description modification in no way provides for an increase in emissions or a relaxation of standards for this emission unit.</w:t>
      </w:r>
    </w:p>
    <w:p w:rsidR="00D132FA" w:rsidRDefault="00D132FA" w:rsidP="00C74305">
      <w:pPr>
        <w:pStyle w:val="BodyText2"/>
        <w:numPr>
          <w:ilvl w:val="0"/>
          <w:numId w:val="0"/>
        </w:numPr>
        <w:jc w:val="left"/>
        <w:rPr>
          <w:b/>
          <w:bCs/>
        </w:rPr>
      </w:pPr>
    </w:p>
    <w:p w:rsidR="00D132FA" w:rsidRDefault="00D132FA" w:rsidP="00C74305">
      <w:pPr>
        <w:pStyle w:val="BodyText2"/>
        <w:numPr>
          <w:ilvl w:val="0"/>
          <w:numId w:val="0"/>
        </w:numPr>
        <w:jc w:val="left"/>
        <w:rPr>
          <w:b/>
          <w:bCs/>
        </w:rPr>
      </w:pPr>
    </w:p>
    <w:p w:rsidR="001C4E37" w:rsidRDefault="001C4E37" w:rsidP="00C74305">
      <w:pPr>
        <w:pStyle w:val="BodyText2"/>
        <w:numPr>
          <w:ilvl w:val="0"/>
          <w:numId w:val="0"/>
        </w:numPr>
        <w:jc w:val="left"/>
        <w:rPr>
          <w:b/>
          <w:bCs/>
        </w:rPr>
      </w:pPr>
      <w:r>
        <w:rPr>
          <w:b/>
          <w:bCs/>
        </w:rPr>
        <w:t>Processing Schedule</w:t>
      </w:r>
    </w:p>
    <w:p w:rsidR="001C4E37" w:rsidRPr="00782ABD" w:rsidRDefault="00812C15" w:rsidP="00767228">
      <w:pPr>
        <w:pStyle w:val="BodyText"/>
        <w:numPr>
          <w:ilvl w:val="12"/>
          <w:numId w:val="0"/>
        </w:numPr>
        <w:tabs>
          <w:tab w:val="left" w:pos="1980"/>
        </w:tabs>
        <w:spacing w:after="60"/>
        <w:rPr>
          <w:sz w:val="22"/>
        </w:rPr>
      </w:pPr>
      <w:r>
        <w:rPr>
          <w:sz w:val="22"/>
        </w:rPr>
        <w:t>November 5</w:t>
      </w:r>
      <w:r w:rsidR="00940F63">
        <w:rPr>
          <w:sz w:val="22"/>
        </w:rPr>
        <w:t>, 201</w:t>
      </w:r>
      <w:r>
        <w:rPr>
          <w:sz w:val="22"/>
        </w:rPr>
        <w:t>2</w:t>
      </w:r>
      <w:r w:rsidR="00FF7719">
        <w:rPr>
          <w:sz w:val="22"/>
        </w:rPr>
        <w:t xml:space="preserve"> </w:t>
      </w:r>
      <w:r w:rsidR="00767228">
        <w:rPr>
          <w:sz w:val="22"/>
        </w:rPr>
        <w:tab/>
      </w:r>
      <w:r w:rsidR="001C4E37" w:rsidRPr="00782ABD">
        <w:rPr>
          <w:sz w:val="22"/>
        </w:rPr>
        <w:t xml:space="preserve">Received the application for a </w:t>
      </w:r>
      <w:r>
        <w:rPr>
          <w:sz w:val="22"/>
        </w:rPr>
        <w:t>Title V Air Operation permit revision and air construction permit to be processed concurrently with the Title V permit.</w:t>
      </w:r>
    </w:p>
    <w:p w:rsidR="001C4E37" w:rsidRDefault="00C04FD1" w:rsidP="00767228">
      <w:pPr>
        <w:pStyle w:val="BodyText"/>
        <w:numPr>
          <w:ilvl w:val="12"/>
          <w:numId w:val="0"/>
        </w:numPr>
        <w:tabs>
          <w:tab w:val="left" w:pos="1980"/>
        </w:tabs>
        <w:spacing w:after="60"/>
        <w:rPr>
          <w:sz w:val="22"/>
        </w:rPr>
      </w:pPr>
      <w:r>
        <w:rPr>
          <w:sz w:val="22"/>
        </w:rPr>
        <w:t xml:space="preserve">December </w:t>
      </w:r>
      <w:r w:rsidR="00B01B91">
        <w:rPr>
          <w:sz w:val="22"/>
        </w:rPr>
        <w:t>21</w:t>
      </w:r>
      <w:r w:rsidR="00C95882">
        <w:rPr>
          <w:sz w:val="22"/>
        </w:rPr>
        <w:t>, 201</w:t>
      </w:r>
      <w:r w:rsidR="00B01B91">
        <w:rPr>
          <w:sz w:val="22"/>
        </w:rPr>
        <w:t>2</w:t>
      </w:r>
      <w:r w:rsidR="001C4E37" w:rsidRPr="00782ABD">
        <w:rPr>
          <w:sz w:val="22"/>
        </w:rPr>
        <w:tab/>
      </w:r>
      <w:r w:rsidR="00B01B91">
        <w:rPr>
          <w:sz w:val="22"/>
        </w:rPr>
        <w:t xml:space="preserve">Received </w:t>
      </w:r>
      <w:r>
        <w:rPr>
          <w:sz w:val="22"/>
        </w:rPr>
        <w:t>a</w:t>
      </w:r>
      <w:r w:rsidR="00C95882">
        <w:rPr>
          <w:sz w:val="22"/>
        </w:rPr>
        <w:t>dditional information</w:t>
      </w:r>
      <w:r w:rsidR="00B01B91">
        <w:rPr>
          <w:sz w:val="22"/>
        </w:rPr>
        <w:t xml:space="preserve"> regarding the air construction permit application</w:t>
      </w:r>
      <w:r w:rsidR="00C95882">
        <w:rPr>
          <w:sz w:val="22"/>
        </w:rPr>
        <w:t xml:space="preserve">. </w:t>
      </w:r>
    </w:p>
    <w:p w:rsidR="001C4E37" w:rsidRDefault="001C4E37" w:rsidP="00767228">
      <w:pPr>
        <w:pStyle w:val="BodyText"/>
        <w:numPr>
          <w:ilvl w:val="12"/>
          <w:numId w:val="0"/>
        </w:numPr>
        <w:tabs>
          <w:tab w:val="left" w:pos="1980"/>
        </w:tabs>
        <w:rPr>
          <w:sz w:val="22"/>
        </w:rPr>
      </w:pPr>
    </w:p>
    <w:p w:rsidR="00193F10" w:rsidRDefault="00767228" w:rsidP="004D1D9F">
      <w:pPr>
        <w:widowControl w:val="0"/>
        <w:spacing w:before="120" w:after="120"/>
        <w:rPr>
          <w:b/>
          <w:caps/>
          <w:sz w:val="22"/>
        </w:rPr>
      </w:pPr>
      <w:r>
        <w:rPr>
          <w:b/>
          <w:caps/>
          <w:sz w:val="22"/>
        </w:rPr>
        <w:br w:type="page"/>
      </w:r>
      <w:r w:rsidR="00193F10">
        <w:rPr>
          <w:b/>
          <w:caps/>
          <w:sz w:val="22"/>
        </w:rPr>
        <w:t xml:space="preserve">2.  </w:t>
      </w:r>
      <w:r w:rsidR="00D51D78">
        <w:rPr>
          <w:b/>
          <w:caps/>
          <w:sz w:val="22"/>
        </w:rPr>
        <w:t>PSD Applicability</w:t>
      </w:r>
    </w:p>
    <w:p w:rsidR="00D51D78" w:rsidRPr="00193F10" w:rsidRDefault="00D51D78" w:rsidP="004D1D9F">
      <w:pPr>
        <w:pStyle w:val="BodyText"/>
        <w:widowControl w:val="0"/>
        <w:rPr>
          <w:b/>
          <w:sz w:val="22"/>
        </w:rPr>
      </w:pPr>
      <w:r w:rsidRPr="00193F10">
        <w:rPr>
          <w:b/>
          <w:sz w:val="22"/>
        </w:rPr>
        <w:t xml:space="preserve">General </w:t>
      </w:r>
      <w:r>
        <w:rPr>
          <w:b/>
          <w:sz w:val="22"/>
        </w:rPr>
        <w:t xml:space="preserve">PSD </w:t>
      </w:r>
      <w:r w:rsidRPr="00193F10">
        <w:rPr>
          <w:b/>
          <w:sz w:val="22"/>
        </w:rPr>
        <w:t>Applicability</w:t>
      </w:r>
    </w:p>
    <w:p w:rsidR="004665E5" w:rsidRDefault="004665E5" w:rsidP="004665E5">
      <w:pPr>
        <w:pStyle w:val="BodyText"/>
        <w:widowControl w:val="0"/>
        <w:rPr>
          <w:sz w:val="22"/>
        </w:rPr>
      </w:pPr>
      <w:r>
        <w:rPr>
          <w:sz w:val="22"/>
        </w:rPr>
        <w:t>For areas currently in attainment with the AAQS or areas otherwise designated as unclassifiable, the Department regulates major stationary sources of air pollution in accordance with Florida’s PSD preconstruction review program as defined in Rule 62-212.400, F.A.C.  Under preconstruction review, the Department first must determine if a project is subject to the PSD requirements (“PSD applicability review”) and, if so, must conduct a PSD preconstruction review.  A PSD applicability review is required for projects at new and existing major stationary sources.  In addition,</w:t>
      </w:r>
      <w:r w:rsidRPr="00362B27">
        <w:rPr>
          <w:sz w:val="22"/>
        </w:rPr>
        <w:t xml:space="preserve"> proposed projects </w:t>
      </w:r>
      <w:r>
        <w:rPr>
          <w:sz w:val="22"/>
        </w:rPr>
        <w:t xml:space="preserve">at existing minor sources are subject to a PSD applicability review to determine whether potential emissions </w:t>
      </w:r>
      <w:r w:rsidRPr="00362B27">
        <w:rPr>
          <w:i/>
          <w:sz w:val="22"/>
        </w:rPr>
        <w:t xml:space="preserve">from </w:t>
      </w:r>
      <w:r>
        <w:rPr>
          <w:i/>
          <w:sz w:val="22"/>
        </w:rPr>
        <w:t xml:space="preserve">the </w:t>
      </w:r>
      <w:r w:rsidRPr="003858DE">
        <w:rPr>
          <w:i/>
          <w:sz w:val="22"/>
        </w:rPr>
        <w:t>proposed projec</w:t>
      </w:r>
      <w:r>
        <w:rPr>
          <w:i/>
          <w:sz w:val="22"/>
        </w:rPr>
        <w:t>t itself</w:t>
      </w:r>
      <w:r w:rsidRPr="00362B27">
        <w:rPr>
          <w:sz w:val="22"/>
        </w:rPr>
        <w:t xml:space="preserve"> </w:t>
      </w:r>
      <w:r>
        <w:rPr>
          <w:sz w:val="22"/>
        </w:rPr>
        <w:t>will exceed the PSD major stationary source thresholds.  A facility is considered a major stationary source with respect to PSD if it emits or has the potential to emit:</w:t>
      </w:r>
    </w:p>
    <w:p w:rsidR="004665E5" w:rsidRDefault="004665E5" w:rsidP="004665E5">
      <w:pPr>
        <w:pStyle w:val="BodyText"/>
        <w:widowControl w:val="0"/>
        <w:numPr>
          <w:ilvl w:val="0"/>
          <w:numId w:val="5"/>
        </w:numPr>
        <w:rPr>
          <w:sz w:val="22"/>
        </w:rPr>
      </w:pPr>
      <w:r>
        <w:rPr>
          <w:sz w:val="22"/>
        </w:rPr>
        <w:t>5 tons per year or more of lead;</w:t>
      </w:r>
    </w:p>
    <w:p w:rsidR="004665E5" w:rsidRDefault="004665E5" w:rsidP="004665E5">
      <w:pPr>
        <w:pStyle w:val="BodyText"/>
        <w:widowControl w:val="0"/>
        <w:numPr>
          <w:ilvl w:val="0"/>
          <w:numId w:val="5"/>
        </w:numPr>
        <w:rPr>
          <w:sz w:val="22"/>
        </w:rPr>
      </w:pPr>
      <w:r>
        <w:rPr>
          <w:sz w:val="22"/>
        </w:rPr>
        <w:t>250 tons per year or more of any regulated air pollutant; or</w:t>
      </w:r>
    </w:p>
    <w:p w:rsidR="004665E5" w:rsidRPr="004D1D9F" w:rsidRDefault="004665E5" w:rsidP="004665E5">
      <w:pPr>
        <w:pStyle w:val="BodyText"/>
        <w:widowControl w:val="0"/>
        <w:numPr>
          <w:ilvl w:val="0"/>
          <w:numId w:val="5"/>
        </w:numPr>
        <w:rPr>
          <w:sz w:val="22"/>
        </w:rPr>
      </w:pPr>
      <w:r>
        <w:rPr>
          <w:sz w:val="22"/>
        </w:rPr>
        <w:t xml:space="preserve">100 tons per year or more of any regulated air pollutant and the facility belongs to one of the following 28 PSD-major facility categories:  </w:t>
      </w:r>
      <w:r w:rsidRPr="002A28C2">
        <w:rPr>
          <w:sz w:val="22"/>
          <w:szCs w:val="22"/>
        </w:rPr>
        <w:t xml:space="preserve">fossil fuel-fired steam electric plants of more than 250 million British thermal units per hour heat input, coal cleaning plants (with thermal dryers), Kraft pulp mills, </w:t>
      </w:r>
      <w:r w:rsidR="00C14738" w:rsidRPr="002A28C2">
        <w:rPr>
          <w:sz w:val="22"/>
          <w:szCs w:val="22"/>
        </w:rPr>
        <w:t>Portland</w:t>
      </w:r>
      <w:r w:rsidRPr="002A28C2">
        <w:rPr>
          <w:sz w:val="22"/>
          <w:szCs w:val="22"/>
        </w:rPr>
        <w:t xml:space="preserve"> cement plants, primary zinc smelters, iron and steel mill plants, primary aluminum ore reduction plants, primary copper smelters, municipal incinerators capable of charging more than 250 tons of refuse per day, hydrofluoric, sulfuric, and nitric acid plants, petroleum refineries, lime plants, phosphate rock processing plants, coke oven batteries, sulfur recovery plants, carbon black plants (furnace process), primary lead smelters, fuel conversion plants, sintering plants, secondary metal production plants, chemical process plants, fossil fuel boilers (or combinations thereof) totaling more than 250 million British thermal units per hour heat input, petroleum storage and transfer units with a total storage capacity exceeding 300,000 barrels, taconite ore processing plants, glass fiber processing plants and charcoal production plants.</w:t>
      </w:r>
    </w:p>
    <w:p w:rsidR="004665E5" w:rsidRPr="00686486" w:rsidRDefault="004665E5" w:rsidP="004665E5">
      <w:pPr>
        <w:pStyle w:val="BodyText"/>
        <w:rPr>
          <w:sz w:val="22"/>
          <w:szCs w:val="22"/>
        </w:rPr>
      </w:pPr>
      <w:r w:rsidRPr="00686486">
        <w:rPr>
          <w:sz w:val="22"/>
          <w:szCs w:val="22"/>
        </w:rPr>
        <w:t>Once it is determined that a project is subject to PSD preconstruction review, the project emissions are compared to the “significant emission rates” defined in Rule 62-210.200, F.A.C. for the following pollutants:  carbon monoxide (CO); nitrogen oxides (NO</w:t>
      </w:r>
      <w:r w:rsidRPr="00686486">
        <w:rPr>
          <w:sz w:val="22"/>
          <w:szCs w:val="22"/>
          <w:vertAlign w:val="subscript"/>
        </w:rPr>
        <w:t>X</w:t>
      </w:r>
      <w:r w:rsidRPr="00686486">
        <w:rPr>
          <w:sz w:val="22"/>
          <w:szCs w:val="22"/>
        </w:rPr>
        <w:t>); sulfur dioxide (SO</w:t>
      </w:r>
      <w:r w:rsidRPr="00686486">
        <w:rPr>
          <w:sz w:val="22"/>
          <w:szCs w:val="22"/>
          <w:vertAlign w:val="subscript"/>
        </w:rPr>
        <w:t>2</w:t>
      </w:r>
      <w:r w:rsidRPr="00686486">
        <w:rPr>
          <w:sz w:val="22"/>
          <w:szCs w:val="22"/>
        </w:rPr>
        <w:t>); particulate matter (PM); particulate matter with a mean particle diameter of 10 microns or less (PM</w:t>
      </w:r>
      <w:r w:rsidRPr="00686486">
        <w:rPr>
          <w:sz w:val="22"/>
          <w:szCs w:val="22"/>
          <w:vertAlign w:val="subscript"/>
        </w:rPr>
        <w:t>10</w:t>
      </w:r>
      <w:r w:rsidRPr="00686486">
        <w:rPr>
          <w:sz w:val="22"/>
          <w:szCs w:val="22"/>
        </w:rPr>
        <w:t>); volatile organ</w:t>
      </w:r>
      <w:r>
        <w:rPr>
          <w:sz w:val="22"/>
          <w:szCs w:val="22"/>
        </w:rPr>
        <w:t>ic compounds (VOC); lead (Pb); f</w:t>
      </w:r>
      <w:r w:rsidRPr="00686486">
        <w:rPr>
          <w:sz w:val="22"/>
          <w:szCs w:val="22"/>
        </w:rPr>
        <w:t>luorides (F); sulfuric acid mist (SAM); hydrogen sulfide (H</w:t>
      </w:r>
      <w:r w:rsidRPr="00686486">
        <w:rPr>
          <w:sz w:val="22"/>
          <w:szCs w:val="22"/>
          <w:vertAlign w:val="subscript"/>
        </w:rPr>
        <w:t>2</w:t>
      </w:r>
      <w:r w:rsidRPr="00686486">
        <w:rPr>
          <w:sz w:val="22"/>
          <w:szCs w:val="22"/>
        </w:rPr>
        <w:t>S); total reduced sulfur (TRS), including H</w:t>
      </w:r>
      <w:r w:rsidRPr="00686486">
        <w:rPr>
          <w:sz w:val="22"/>
          <w:szCs w:val="22"/>
          <w:vertAlign w:val="subscript"/>
        </w:rPr>
        <w:t>2</w:t>
      </w:r>
      <w:r w:rsidRPr="00686486">
        <w:rPr>
          <w:sz w:val="22"/>
          <w:szCs w:val="22"/>
        </w:rPr>
        <w:t>S; reduced sulfur compounds, including H</w:t>
      </w:r>
      <w:r w:rsidRPr="00686486">
        <w:rPr>
          <w:sz w:val="22"/>
          <w:szCs w:val="22"/>
          <w:vertAlign w:val="subscript"/>
        </w:rPr>
        <w:t>2</w:t>
      </w:r>
      <w:r w:rsidRPr="00686486">
        <w:rPr>
          <w:sz w:val="22"/>
          <w:szCs w:val="22"/>
        </w:rPr>
        <w:t>S; municipal waste combustor organics measured as total tetra- through octa-chlorinated dibenzo-p-dioxins and dibenzofurans; municipal waste combustor metals measured as particulate matter; municipal waste combustor acid gases measured as SO</w:t>
      </w:r>
      <w:r w:rsidRPr="00686486">
        <w:rPr>
          <w:sz w:val="22"/>
          <w:szCs w:val="22"/>
          <w:vertAlign w:val="subscript"/>
        </w:rPr>
        <w:t>2</w:t>
      </w:r>
      <w:r w:rsidRPr="00686486">
        <w:rPr>
          <w:sz w:val="22"/>
          <w:szCs w:val="22"/>
        </w:rPr>
        <w:t xml:space="preserve"> and hydrogen chloride (HCl); municipal solid waste landfills emissions measured as non-methane organic compounds (NMOC); and mercury (Hg).  In addition, significant emissions rate also means any emissions rate or any net emissions increase associated with a major stationary source or major modification which would construct within 10 kilometers of a Class I area and have an impact on such area equal to or greater than 1 μg/m</w:t>
      </w:r>
      <w:r w:rsidRPr="00686486">
        <w:rPr>
          <w:sz w:val="22"/>
          <w:szCs w:val="22"/>
          <w:vertAlign w:val="superscript"/>
        </w:rPr>
        <w:t>3</w:t>
      </w:r>
      <w:r w:rsidRPr="00686486">
        <w:rPr>
          <w:sz w:val="22"/>
          <w:szCs w:val="22"/>
        </w:rPr>
        <w:t>, 24-hour average.</w:t>
      </w:r>
    </w:p>
    <w:p w:rsidR="004D1D9F" w:rsidRDefault="004665E5" w:rsidP="004665E5">
      <w:pPr>
        <w:pStyle w:val="BodyText"/>
        <w:rPr>
          <w:sz w:val="22"/>
        </w:rPr>
      </w:pPr>
      <w:r>
        <w:rPr>
          <w:sz w:val="22"/>
        </w:rPr>
        <w:t>If the potential emission equals or exceeds the</w:t>
      </w:r>
      <w:r w:rsidRPr="00686486">
        <w:rPr>
          <w:sz w:val="22"/>
          <w:szCs w:val="22"/>
        </w:rPr>
        <w:t xml:space="preserve"> </w:t>
      </w:r>
      <w:r>
        <w:rPr>
          <w:sz w:val="22"/>
          <w:szCs w:val="22"/>
        </w:rPr>
        <w:t xml:space="preserve">defined </w:t>
      </w:r>
      <w:r w:rsidRPr="00686486">
        <w:rPr>
          <w:sz w:val="22"/>
          <w:szCs w:val="22"/>
        </w:rPr>
        <w:t>significant emissions rate</w:t>
      </w:r>
      <w:r w:rsidRPr="00DA4D8D">
        <w:rPr>
          <w:sz w:val="22"/>
        </w:rPr>
        <w:t xml:space="preserve"> </w:t>
      </w:r>
      <w:r>
        <w:rPr>
          <w:sz w:val="22"/>
        </w:rPr>
        <w:t>of a PSD pollutant</w:t>
      </w:r>
      <w:r>
        <w:rPr>
          <w:sz w:val="22"/>
          <w:szCs w:val="22"/>
        </w:rPr>
        <w:t xml:space="preserve">, the project is </w:t>
      </w:r>
      <w:r>
        <w:rPr>
          <w:sz w:val="22"/>
        </w:rPr>
        <w:t xml:space="preserve">considered “significant” for the pollutant and the applicant must employ the Best Available Control Technology (BACT) to minimize the emissions and evaluate the air quality impacts.  Although a facility or project may be </w:t>
      </w:r>
      <w:r w:rsidRPr="00E84B3B">
        <w:rPr>
          <w:i/>
          <w:sz w:val="22"/>
        </w:rPr>
        <w:t>major</w:t>
      </w:r>
      <w:r>
        <w:rPr>
          <w:sz w:val="22"/>
        </w:rPr>
        <w:t xml:space="preserve"> with respect to PSD for only one regulated pollutant, it may be required to install BACT controls for several “significant” regulated pollutants.</w:t>
      </w:r>
    </w:p>
    <w:p w:rsidR="007266C7" w:rsidRDefault="00193F10" w:rsidP="007266C7">
      <w:pPr>
        <w:pStyle w:val="BodyText"/>
        <w:widowControl w:val="0"/>
        <w:ind w:left="360" w:hanging="360"/>
        <w:jc w:val="both"/>
        <w:rPr>
          <w:b/>
          <w:sz w:val="22"/>
        </w:rPr>
      </w:pPr>
      <w:r w:rsidRPr="00193F10">
        <w:rPr>
          <w:b/>
          <w:sz w:val="22"/>
        </w:rPr>
        <w:t>PSD Applicability for Project</w:t>
      </w:r>
    </w:p>
    <w:p w:rsidR="004665E5" w:rsidRDefault="004665E5" w:rsidP="004D1D9F">
      <w:pPr>
        <w:widowControl w:val="0"/>
        <w:spacing w:before="120" w:after="120"/>
        <w:rPr>
          <w:sz w:val="22"/>
          <w:szCs w:val="22"/>
        </w:rPr>
        <w:sectPr w:rsidR="004665E5" w:rsidSect="004665E5">
          <w:headerReference w:type="default" r:id="rId9"/>
          <w:footerReference w:type="default" r:id="rId10"/>
          <w:headerReference w:type="first" r:id="rId11"/>
          <w:footerReference w:type="first" r:id="rId12"/>
          <w:pgSz w:w="12240" w:h="15840" w:code="1"/>
          <w:pgMar w:top="720" w:right="1080" w:bottom="720" w:left="1080" w:header="432" w:footer="290" w:gutter="0"/>
          <w:paperSrc w:first="15" w:other="15"/>
          <w:cols w:space="720"/>
          <w:docGrid w:linePitch="272"/>
        </w:sectPr>
      </w:pPr>
      <w:r w:rsidRPr="000D2E5C">
        <w:rPr>
          <w:sz w:val="22"/>
          <w:szCs w:val="22"/>
        </w:rPr>
        <w:t>The project is located in</w:t>
      </w:r>
      <w:r>
        <w:rPr>
          <w:sz w:val="22"/>
          <w:szCs w:val="22"/>
        </w:rPr>
        <w:t xml:space="preserve"> Putnam </w:t>
      </w:r>
      <w:r w:rsidRPr="000D2E5C">
        <w:rPr>
          <w:sz w:val="22"/>
          <w:szCs w:val="22"/>
        </w:rPr>
        <w:t xml:space="preserve">County which is in an area that is currently in attainment with the </w:t>
      </w:r>
      <w:r>
        <w:rPr>
          <w:sz w:val="22"/>
          <w:szCs w:val="22"/>
        </w:rPr>
        <w:t>AAQS</w:t>
      </w:r>
      <w:r w:rsidRPr="000D2E5C">
        <w:rPr>
          <w:sz w:val="22"/>
          <w:szCs w:val="22"/>
        </w:rPr>
        <w:t xml:space="preserve"> </w:t>
      </w:r>
      <w:r>
        <w:rPr>
          <w:sz w:val="22"/>
          <w:szCs w:val="22"/>
        </w:rPr>
        <w:t xml:space="preserve">or is </w:t>
      </w:r>
      <w:r w:rsidRPr="000D2E5C">
        <w:rPr>
          <w:sz w:val="22"/>
          <w:szCs w:val="22"/>
        </w:rPr>
        <w:t xml:space="preserve">otherwise designated as unclassifiable.  </w:t>
      </w:r>
      <w:r>
        <w:rPr>
          <w:sz w:val="22"/>
          <w:szCs w:val="22"/>
        </w:rPr>
        <w:t>The proposed project will not increase emissions for any PSD pollutant; therefore, the project is not subject to a PSD preconstruction review.</w:t>
      </w:r>
      <w:r w:rsidR="00B01B91">
        <w:rPr>
          <w:sz w:val="22"/>
          <w:szCs w:val="22"/>
        </w:rPr>
        <w:t xml:space="preserve"> Pollutant emission levels and restrictions are not changed by this permit. </w:t>
      </w:r>
    </w:p>
    <w:p w:rsidR="00193F10" w:rsidRDefault="00193F10" w:rsidP="004D1D9F">
      <w:pPr>
        <w:widowControl w:val="0"/>
        <w:spacing w:before="120" w:after="120"/>
        <w:rPr>
          <w:b/>
          <w:caps/>
          <w:sz w:val="22"/>
        </w:rPr>
      </w:pPr>
      <w:r>
        <w:rPr>
          <w:b/>
          <w:caps/>
          <w:sz w:val="22"/>
        </w:rPr>
        <w:t xml:space="preserve">3.  </w:t>
      </w:r>
      <w:r w:rsidR="00617209">
        <w:rPr>
          <w:b/>
          <w:caps/>
          <w:sz w:val="22"/>
        </w:rPr>
        <w:t>Department review</w:t>
      </w:r>
    </w:p>
    <w:p w:rsidR="00B01B91" w:rsidRPr="00812C15" w:rsidRDefault="00B01B91" w:rsidP="00B01B91">
      <w:pPr>
        <w:widowControl w:val="0"/>
        <w:spacing w:after="120"/>
        <w:rPr>
          <w:sz w:val="22"/>
          <w:szCs w:val="22"/>
        </w:rPr>
      </w:pPr>
      <w:r w:rsidRPr="001B61E5">
        <w:rPr>
          <w:strike/>
          <w:sz w:val="22"/>
          <w:szCs w:val="22"/>
        </w:rPr>
        <w:t xml:space="preserve">This permit project corrects the fuel oil burner sizes (and capacities) which were installed after issuance of permit No. 1070005-050-AC. Each startup burner installed has a maximum capacity of 375 gallons per hour (56.25 MMBtu per hour) and each load burner installed has a maximum capacity of 925 gallons per hour (138.75 MMBtu per hour). Even though these burners are significantly larger than proposed in the permit project (1070005-050-AC) no additional restrictions are required since the use of fuel oil was capped on a 24 hour basis by permit No. 1070005-050-AC to 67,680 gallons per 24 hour rolling period. This cap is significantly below the </w:t>
      </w:r>
      <w:r w:rsidRPr="001B61E5">
        <w:rPr>
          <w:i/>
          <w:strike/>
          <w:sz w:val="22"/>
          <w:szCs w:val="22"/>
        </w:rPr>
        <w:t>previously indicated</w:t>
      </w:r>
      <w:r w:rsidRPr="001B61E5">
        <w:rPr>
          <w:strike/>
          <w:sz w:val="22"/>
          <w:szCs w:val="22"/>
        </w:rPr>
        <w:t xml:space="preserve"> maximum burner capacity and the </w:t>
      </w:r>
      <w:r w:rsidRPr="001B61E5">
        <w:rPr>
          <w:i/>
          <w:strike/>
          <w:sz w:val="22"/>
          <w:szCs w:val="22"/>
        </w:rPr>
        <w:t>actual capacity</w:t>
      </w:r>
      <w:r w:rsidRPr="001B61E5">
        <w:rPr>
          <w:strike/>
          <w:sz w:val="22"/>
          <w:szCs w:val="22"/>
        </w:rPr>
        <w:t xml:space="preserve"> of the burners on a 24 hour rolling total basis.</w:t>
      </w:r>
      <w:r w:rsidR="001B61E5">
        <w:rPr>
          <w:sz w:val="22"/>
          <w:szCs w:val="22"/>
        </w:rPr>
        <w:t xml:space="preserve"> </w:t>
      </w:r>
      <w:r w:rsidR="001B61E5" w:rsidRPr="001B61E5">
        <w:rPr>
          <w:color w:val="FF0000"/>
          <w:sz w:val="22"/>
          <w:szCs w:val="22"/>
        </w:rPr>
        <w:t xml:space="preserve">This permit project corrects the fuel oil burner </w:t>
      </w:r>
      <w:r w:rsidR="001B61E5" w:rsidRPr="001B61E5">
        <w:rPr>
          <w:bCs/>
          <w:iCs/>
          <w:color w:val="FF0000"/>
          <w:sz w:val="22"/>
          <w:szCs w:val="22"/>
        </w:rPr>
        <w:t>maximum design</w:t>
      </w:r>
      <w:r w:rsidR="001B61E5" w:rsidRPr="001B61E5">
        <w:rPr>
          <w:color w:val="FF0000"/>
          <w:sz w:val="22"/>
          <w:szCs w:val="22"/>
        </w:rPr>
        <w:t xml:space="preserve"> capacities which </w:t>
      </w:r>
      <w:r w:rsidR="001B61E5" w:rsidRPr="001B61E5">
        <w:rPr>
          <w:bCs/>
          <w:iCs/>
          <w:color w:val="FF0000"/>
          <w:sz w:val="22"/>
          <w:szCs w:val="22"/>
        </w:rPr>
        <w:t>first appeared in the permit after the</w:t>
      </w:r>
      <w:r w:rsidR="001B61E5" w:rsidRPr="001B61E5">
        <w:rPr>
          <w:color w:val="FF0000"/>
          <w:sz w:val="22"/>
          <w:szCs w:val="22"/>
        </w:rPr>
        <w:t xml:space="preserve"> issuance of permit No. 1070005-050-AC. Each startup burner installed has a maximum capacity of 375 gallons per hour (56.25 MMBtu per hour) and each load burner installed has a maximum capacity of 925 gallons per hour (138.75 MMBtu per hour). Even though these burners </w:t>
      </w:r>
      <w:r w:rsidR="001B61E5" w:rsidRPr="001B61E5">
        <w:rPr>
          <w:bCs/>
          <w:iCs/>
          <w:color w:val="FF0000"/>
          <w:sz w:val="22"/>
          <w:szCs w:val="22"/>
        </w:rPr>
        <w:t>capacities</w:t>
      </w:r>
      <w:r w:rsidR="001B61E5" w:rsidRPr="001B61E5">
        <w:rPr>
          <w:color w:val="FF0000"/>
          <w:sz w:val="22"/>
          <w:szCs w:val="22"/>
        </w:rPr>
        <w:t xml:space="preserve"> are significantly larger than </w:t>
      </w:r>
      <w:r w:rsidR="001B61E5" w:rsidRPr="001B61E5">
        <w:rPr>
          <w:bCs/>
          <w:iCs/>
          <w:color w:val="FF0000"/>
          <w:sz w:val="22"/>
          <w:szCs w:val="22"/>
        </w:rPr>
        <w:t>those identified</w:t>
      </w:r>
      <w:r w:rsidR="001B61E5" w:rsidRPr="001B61E5">
        <w:rPr>
          <w:color w:val="FF0000"/>
          <w:sz w:val="22"/>
          <w:szCs w:val="22"/>
        </w:rPr>
        <w:t xml:space="preserve"> in the permit project (1070005-050-AC), </w:t>
      </w:r>
      <w:r w:rsidR="001B61E5" w:rsidRPr="001B61E5">
        <w:rPr>
          <w:bCs/>
          <w:iCs/>
          <w:color w:val="FF0000"/>
          <w:sz w:val="22"/>
          <w:szCs w:val="22"/>
        </w:rPr>
        <w:t>the design maximum burner capacities are strictly informational and</w:t>
      </w:r>
      <w:r w:rsidR="001B61E5" w:rsidRPr="001B61E5">
        <w:rPr>
          <w:color w:val="FF0000"/>
          <w:sz w:val="22"/>
          <w:szCs w:val="22"/>
        </w:rPr>
        <w:t xml:space="preserve"> no additional restrictions are required since the use of fuel oil was capped on a 24 hour basis by permit No. 1070005-050-AC to 67,680 gallons per 24 hour rolling period. This cap is</w:t>
      </w:r>
      <w:r w:rsidR="001B61E5" w:rsidRPr="001B61E5">
        <w:rPr>
          <w:bCs/>
          <w:iCs/>
          <w:color w:val="FF0000"/>
          <w:sz w:val="22"/>
          <w:szCs w:val="22"/>
        </w:rPr>
        <w:t xml:space="preserve"> 42%</w:t>
      </w:r>
      <w:r w:rsidR="001B61E5" w:rsidRPr="001B61E5">
        <w:rPr>
          <w:color w:val="FF0000"/>
          <w:sz w:val="22"/>
          <w:szCs w:val="22"/>
        </w:rPr>
        <w:t xml:space="preserve"> below the previously indicated maximum burner capacity and </w:t>
      </w:r>
      <w:r w:rsidR="001B61E5" w:rsidRPr="001B61E5">
        <w:rPr>
          <w:bCs/>
          <w:iCs/>
          <w:color w:val="FF0000"/>
          <w:sz w:val="22"/>
          <w:szCs w:val="22"/>
        </w:rPr>
        <w:t>68% below</w:t>
      </w:r>
      <w:r w:rsidR="001B61E5" w:rsidRPr="001B61E5">
        <w:rPr>
          <w:color w:val="FF0000"/>
          <w:sz w:val="22"/>
          <w:szCs w:val="22"/>
        </w:rPr>
        <w:t xml:space="preserve"> the </w:t>
      </w:r>
      <w:r w:rsidR="001B61E5" w:rsidRPr="001B61E5">
        <w:rPr>
          <w:bCs/>
          <w:iCs/>
          <w:color w:val="FF0000"/>
          <w:sz w:val="22"/>
          <w:szCs w:val="22"/>
        </w:rPr>
        <w:t>revised maximum</w:t>
      </w:r>
      <w:r w:rsidR="001B61E5" w:rsidRPr="001B61E5">
        <w:rPr>
          <w:color w:val="FF0000"/>
          <w:sz w:val="22"/>
          <w:szCs w:val="22"/>
        </w:rPr>
        <w:t xml:space="preserve"> </w:t>
      </w:r>
      <w:r w:rsidR="001B61E5" w:rsidRPr="001B61E5">
        <w:rPr>
          <w:bCs/>
          <w:iCs/>
          <w:color w:val="FF0000"/>
          <w:sz w:val="22"/>
          <w:szCs w:val="22"/>
        </w:rPr>
        <w:t>burner</w:t>
      </w:r>
      <w:r w:rsidR="001B61E5" w:rsidRPr="001B61E5">
        <w:rPr>
          <w:strike/>
          <w:color w:val="FF0000"/>
          <w:sz w:val="22"/>
          <w:szCs w:val="22"/>
        </w:rPr>
        <w:t xml:space="preserve"> </w:t>
      </w:r>
      <w:r w:rsidR="001B61E5" w:rsidRPr="001B61E5">
        <w:rPr>
          <w:color w:val="FF0000"/>
          <w:sz w:val="22"/>
          <w:szCs w:val="22"/>
        </w:rPr>
        <w:t>capacity on a 24 hour rolling total basis.</w:t>
      </w:r>
    </w:p>
    <w:p w:rsidR="007E0CED" w:rsidRPr="00C14738" w:rsidRDefault="00B01B91" w:rsidP="00B01B91">
      <w:pPr>
        <w:pStyle w:val="BodyText"/>
        <w:widowControl w:val="0"/>
        <w:rPr>
          <w:sz w:val="22"/>
          <w:szCs w:val="22"/>
        </w:rPr>
      </w:pPr>
      <w:r w:rsidRPr="00812C15">
        <w:rPr>
          <w:sz w:val="22"/>
          <w:szCs w:val="22"/>
        </w:rPr>
        <w:t>Additionally, the maximum steam production rate listed in the emission unit description is being removed since it is not an emission limiting standard and was not intended as a restriction. This description modification in no way provides for an increase in emissions or a relaxation of standards for this emission unit.</w:t>
      </w:r>
      <w:r w:rsidR="00D208EA" w:rsidRPr="00C14738">
        <w:rPr>
          <w:sz w:val="22"/>
          <w:szCs w:val="22"/>
        </w:rPr>
        <w:t xml:space="preserve"> </w:t>
      </w:r>
    </w:p>
    <w:p w:rsidR="00B7612C" w:rsidRDefault="00DD67DA" w:rsidP="007E0CED">
      <w:pPr>
        <w:pStyle w:val="BodyText"/>
        <w:widowControl w:val="0"/>
        <w:rPr>
          <w:sz w:val="22"/>
          <w:szCs w:val="22"/>
        </w:rPr>
      </w:pPr>
      <w:r>
        <w:rPr>
          <w:sz w:val="22"/>
          <w:szCs w:val="22"/>
        </w:rPr>
        <w:t xml:space="preserve">The project </w:t>
      </w:r>
      <w:r w:rsidR="00B01B91">
        <w:rPr>
          <w:sz w:val="22"/>
          <w:szCs w:val="22"/>
        </w:rPr>
        <w:t xml:space="preserve">does not result in the establishment of any new emissions rates and does not provide for an increase in pulp production at the facility. </w:t>
      </w:r>
      <w:r w:rsidR="00243A64">
        <w:rPr>
          <w:sz w:val="22"/>
          <w:szCs w:val="22"/>
        </w:rPr>
        <w:t xml:space="preserve">The applicant </w:t>
      </w:r>
      <w:r w:rsidR="00B01B91">
        <w:rPr>
          <w:sz w:val="22"/>
          <w:szCs w:val="22"/>
        </w:rPr>
        <w:t xml:space="preserve">shall continue to </w:t>
      </w:r>
      <w:r w:rsidR="00243A64">
        <w:rPr>
          <w:sz w:val="22"/>
          <w:szCs w:val="22"/>
        </w:rPr>
        <w:t xml:space="preserve">submit annual reports </w:t>
      </w:r>
      <w:r w:rsidR="00B01B91">
        <w:rPr>
          <w:sz w:val="22"/>
          <w:szCs w:val="22"/>
        </w:rPr>
        <w:t>for the five year period (as required by Permit No. 1070005-050-AC). Additional reports are not required by this permit.</w:t>
      </w:r>
      <w:r w:rsidR="00243A64">
        <w:rPr>
          <w:sz w:val="22"/>
          <w:szCs w:val="22"/>
        </w:rPr>
        <w:t xml:space="preserve">  </w:t>
      </w:r>
    </w:p>
    <w:p w:rsidR="00193F10" w:rsidRPr="000B4B28" w:rsidRDefault="00193F10" w:rsidP="004D1D9F">
      <w:pPr>
        <w:widowControl w:val="0"/>
        <w:spacing w:before="120" w:after="120"/>
        <w:jc w:val="both"/>
        <w:rPr>
          <w:b/>
          <w:caps/>
          <w:sz w:val="22"/>
        </w:rPr>
      </w:pPr>
      <w:r w:rsidRPr="000B4B28">
        <w:rPr>
          <w:b/>
          <w:caps/>
          <w:sz w:val="22"/>
        </w:rPr>
        <w:t>4.  Preliminary Determination</w:t>
      </w:r>
    </w:p>
    <w:p w:rsidR="00193F10" w:rsidRPr="00744B89" w:rsidRDefault="00193F10" w:rsidP="00767228">
      <w:pPr>
        <w:widowControl w:val="0"/>
        <w:spacing w:after="120"/>
        <w:rPr>
          <w:sz w:val="22"/>
        </w:rPr>
      </w:pPr>
      <w:r>
        <w:rPr>
          <w:sz w:val="22"/>
        </w:rPr>
        <w:t xml:space="preserve">The Department makes a preliminary determination that the proposed project will comply with all applicable state and federal air pollution regulations as conditioned by the draft permit.  </w:t>
      </w:r>
      <w:r w:rsidR="00B01B91">
        <w:rPr>
          <w:sz w:val="22"/>
        </w:rPr>
        <w:t>Jerry Woosley</w:t>
      </w:r>
      <w:r>
        <w:rPr>
          <w:sz w:val="22"/>
        </w:rPr>
        <w:t xml:space="preserve"> is the project engineer responsible for reviewing the application and drafting the permit.  Additional details of this analysis may be obtained by contacting </w:t>
      </w:r>
      <w:r w:rsidR="00B01B91">
        <w:rPr>
          <w:sz w:val="22"/>
        </w:rPr>
        <w:t>Jerry Woosley at 904-256-1563</w:t>
      </w:r>
      <w:r w:rsidR="00767228">
        <w:rPr>
          <w:sz w:val="22"/>
        </w:rPr>
        <w:t xml:space="preserve"> or at </w:t>
      </w:r>
      <w:hyperlink r:id="rId13" w:history="1">
        <w:r w:rsidR="00B01B91" w:rsidRPr="00055E06">
          <w:rPr>
            <w:rStyle w:val="Hyperlink"/>
            <w:sz w:val="22"/>
          </w:rPr>
          <w:t>jerry.woosley@dep.state.fl.us</w:t>
        </w:r>
      </w:hyperlink>
      <w:r w:rsidR="00B01B91">
        <w:rPr>
          <w:sz w:val="22"/>
        </w:rPr>
        <w:t xml:space="preserve">  </w:t>
      </w:r>
      <w:r w:rsidR="00767228">
        <w:rPr>
          <w:sz w:val="22"/>
        </w:rPr>
        <w:t xml:space="preserve">or </w:t>
      </w:r>
      <w:r>
        <w:rPr>
          <w:sz w:val="22"/>
        </w:rPr>
        <w:t xml:space="preserve">at the Department’s </w:t>
      </w:r>
      <w:r w:rsidR="00B01B91">
        <w:rPr>
          <w:sz w:val="22"/>
        </w:rPr>
        <w:t xml:space="preserve">Notheast District </w:t>
      </w:r>
      <w:r w:rsidR="00767228">
        <w:rPr>
          <w:sz w:val="22"/>
        </w:rPr>
        <w:t>Office</w:t>
      </w:r>
      <w:r w:rsidR="00B01B91">
        <w:rPr>
          <w:sz w:val="22"/>
        </w:rPr>
        <w:t>, Air Resource Section, 8800 Baymeadows Way West, Suite 100, Jacksonville, FL 32256.</w:t>
      </w:r>
    </w:p>
    <w:sectPr w:rsidR="00193F10" w:rsidRPr="00744B89" w:rsidSect="004665E5">
      <w:pgSz w:w="12240" w:h="15840" w:code="1"/>
      <w:pgMar w:top="720" w:right="1080" w:bottom="720" w:left="1080" w:header="432" w:footer="290" w:gutter="0"/>
      <w:paperSrc w:first="15" w:other="15"/>
      <w:cols w:space="720"/>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54877" w:rsidRDefault="00F54877">
      <w:r>
        <w:separator/>
      </w:r>
    </w:p>
  </w:endnote>
  <w:endnote w:type="continuationSeparator" w:id="0">
    <w:p w:rsidR="00F54877" w:rsidRDefault="00F5487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54877" w:rsidRPr="00C02BEB" w:rsidRDefault="00F54877" w:rsidP="00767228">
    <w:pPr>
      <w:pBdr>
        <w:top w:val="single" w:sz="6" w:space="1" w:color="auto"/>
      </w:pBdr>
      <w:tabs>
        <w:tab w:val="right" w:pos="10080"/>
      </w:tabs>
      <w:spacing w:before="240"/>
      <w:rPr>
        <w:rStyle w:val="PageNumber"/>
        <w:highlight w:val="yellow"/>
      </w:rPr>
    </w:pPr>
    <w:r w:rsidRPr="00256144">
      <w:t>Georgia-Pacific Consumer Operations, LLC</w:t>
    </w:r>
    <w:r w:rsidRPr="00C02BEB">
      <w:rPr>
        <w:rStyle w:val="PageNumber"/>
      </w:rPr>
      <w:tab/>
    </w:r>
    <w:r w:rsidRPr="00256144">
      <w:rPr>
        <w:rStyle w:val="PageNumber"/>
      </w:rPr>
      <w:t>Air Permit No.</w:t>
    </w:r>
    <w:r w:rsidRPr="00B92D6B">
      <w:rPr>
        <w:rStyle w:val="PageNumber"/>
      </w:rPr>
      <w:t xml:space="preserve"> 1070005-0</w:t>
    </w:r>
    <w:r>
      <w:rPr>
        <w:rStyle w:val="PageNumber"/>
      </w:rPr>
      <w:t>79</w:t>
    </w:r>
    <w:r w:rsidRPr="00B92D6B">
      <w:rPr>
        <w:rStyle w:val="PageNumber"/>
      </w:rPr>
      <w:t>-AC</w:t>
    </w:r>
  </w:p>
  <w:p w:rsidR="00F54877" w:rsidRPr="00C02BEB" w:rsidRDefault="00F54877" w:rsidP="00B01B91">
    <w:pPr>
      <w:pBdr>
        <w:top w:val="single" w:sz="6" w:space="1" w:color="auto"/>
      </w:pBdr>
      <w:tabs>
        <w:tab w:val="left" w:pos="5580"/>
      </w:tabs>
      <w:rPr>
        <w:rStyle w:val="PageNumber"/>
      </w:rPr>
    </w:pPr>
    <w:r w:rsidRPr="00256144">
      <w:rPr>
        <w:rStyle w:val="PageNumber"/>
      </w:rPr>
      <w:t xml:space="preserve">Palatka Mill, No. 4 </w:t>
    </w:r>
    <w:r>
      <w:rPr>
        <w:rStyle w:val="PageNumber"/>
      </w:rPr>
      <w:t>Recovery</w:t>
    </w:r>
    <w:r w:rsidRPr="00256144">
      <w:rPr>
        <w:rStyle w:val="PageNumber"/>
      </w:rPr>
      <w:t xml:space="preserve"> Boiler</w:t>
    </w:r>
    <w:r w:rsidRPr="00C02BEB">
      <w:rPr>
        <w:rStyle w:val="PageNumber"/>
      </w:rPr>
      <w:tab/>
    </w:r>
    <w:r>
      <w:rPr>
        <w:rStyle w:val="PageNumber"/>
      </w:rPr>
      <w:t xml:space="preserve">      Minor Modification to Permit No. 1070005-050-AC</w:t>
    </w:r>
  </w:p>
  <w:p w:rsidR="00F54877" w:rsidRDefault="00F54877">
    <w:pPr>
      <w:pStyle w:val="Footer"/>
      <w:tabs>
        <w:tab w:val="clear" w:pos="4320"/>
        <w:tab w:val="clear" w:pos="8640"/>
      </w:tabs>
      <w:jc w:val="center"/>
    </w:pPr>
    <w:r>
      <w:rPr>
        <w:rStyle w:val="PageNumber"/>
      </w:rPr>
      <w:t xml:space="preserve">Page </w:t>
    </w:r>
    <w:r>
      <w:rPr>
        <w:rStyle w:val="PageNumber"/>
      </w:rPr>
      <w:fldChar w:fldCharType="begin"/>
    </w:r>
    <w:r>
      <w:rPr>
        <w:rStyle w:val="PageNumber"/>
      </w:rPr>
      <w:instrText xml:space="preserve"> PAGE </w:instrText>
    </w:r>
    <w:r>
      <w:rPr>
        <w:rStyle w:val="PageNumber"/>
      </w:rPr>
      <w:fldChar w:fldCharType="separate"/>
    </w:r>
    <w:r w:rsidR="00C7334D">
      <w:rPr>
        <w:rStyle w:val="PageNumber"/>
        <w:noProof/>
      </w:rPr>
      <w:t>5</w:t>
    </w:r>
    <w:r>
      <w:rPr>
        <w:rStyle w:val="PageNumber"/>
      </w:rPr>
      <w:fldChar w:fldCharType="end"/>
    </w:r>
    <w:r>
      <w:rPr>
        <w:rStyle w:val="PageNumber"/>
      </w:rPr>
      <w:t xml:space="preserve"> of </w:t>
    </w:r>
    <w:r>
      <w:rPr>
        <w:rStyle w:val="PageNumber"/>
      </w:rPr>
      <w:fldChar w:fldCharType="begin"/>
    </w:r>
    <w:r>
      <w:rPr>
        <w:rStyle w:val="PageNumber"/>
      </w:rPr>
      <w:instrText xml:space="preserve"> NUMPAGES </w:instrText>
    </w:r>
    <w:r>
      <w:rPr>
        <w:rStyle w:val="PageNumber"/>
      </w:rPr>
      <w:fldChar w:fldCharType="separate"/>
    </w:r>
    <w:r w:rsidR="00C7334D">
      <w:rPr>
        <w:rStyle w:val="PageNumber"/>
        <w:noProof/>
      </w:rPr>
      <w:t>5</w:t>
    </w:r>
    <w:r>
      <w:rPr>
        <w:rStyle w:val="PageNumber"/>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54877" w:rsidRDefault="00F54877">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54877" w:rsidRDefault="00F54877">
      <w:r>
        <w:separator/>
      </w:r>
    </w:p>
  </w:footnote>
  <w:footnote w:type="continuationSeparator" w:id="0">
    <w:p w:rsidR="00F54877" w:rsidRDefault="00F5487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54877" w:rsidRDefault="00F54877">
    <w:pPr>
      <w:pStyle w:val="Header"/>
      <w:pBdr>
        <w:bottom w:val="single" w:sz="6" w:space="1" w:color="auto"/>
      </w:pBdr>
      <w:spacing w:after="240"/>
      <w:jc w:val="center"/>
      <w:rPr>
        <w:b/>
        <w:caps/>
        <w:sz w:val="22"/>
        <w:u w:val="single"/>
      </w:rPr>
    </w:pPr>
    <w:r>
      <w:rPr>
        <w:b/>
        <w:caps/>
        <w:sz w:val="22"/>
      </w:rPr>
      <w:t>TECHNICAL EVALUATION and PRELIMINARY DETERMINATION</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54877" w:rsidRDefault="00F54877">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7B4440"/>
    <w:multiLevelType w:val="hybridMultilevel"/>
    <w:tmpl w:val="0AC23756"/>
    <w:lvl w:ilvl="0" w:tplc="72CEAFDC">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142E5BB4"/>
    <w:multiLevelType w:val="hybridMultilevel"/>
    <w:tmpl w:val="A3CE88F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2191DFA"/>
    <w:multiLevelType w:val="hybridMultilevel"/>
    <w:tmpl w:val="74962264"/>
    <w:lvl w:ilvl="0" w:tplc="64104B76">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3E6E4C53"/>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
    <w:nsid w:val="411C16EC"/>
    <w:multiLevelType w:val="hybridMultilevel"/>
    <w:tmpl w:val="4798F076"/>
    <w:lvl w:ilvl="0" w:tplc="766A4D70">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4F345501"/>
    <w:multiLevelType w:val="hybridMultilevel"/>
    <w:tmpl w:val="7F6A6550"/>
    <w:lvl w:ilvl="0" w:tplc="221E5B7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5388440B"/>
    <w:multiLevelType w:val="hybridMultilevel"/>
    <w:tmpl w:val="203A92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546560D7"/>
    <w:multiLevelType w:val="hybridMultilevel"/>
    <w:tmpl w:val="D026DE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68275E13"/>
    <w:multiLevelType w:val="hybridMultilevel"/>
    <w:tmpl w:val="2D0CAA48"/>
    <w:lvl w:ilvl="0" w:tplc="3A86927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7A8B6857"/>
    <w:multiLevelType w:val="hybridMultilevel"/>
    <w:tmpl w:val="36DE5312"/>
    <w:lvl w:ilvl="0" w:tplc="61BE354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7B6D6983"/>
    <w:multiLevelType w:val="hybridMultilevel"/>
    <w:tmpl w:val="34CA9646"/>
    <w:lvl w:ilvl="0" w:tplc="64104B76">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0"/>
  </w:num>
  <w:num w:numId="3">
    <w:abstractNumId w:val="0"/>
  </w:num>
  <w:num w:numId="4">
    <w:abstractNumId w:val="2"/>
  </w:num>
  <w:num w:numId="5">
    <w:abstractNumId w:val="4"/>
  </w:num>
  <w:num w:numId="6">
    <w:abstractNumId w:val="7"/>
  </w:num>
  <w:num w:numId="7">
    <w:abstractNumId w:val="5"/>
  </w:num>
  <w:num w:numId="8">
    <w:abstractNumId w:val="8"/>
  </w:num>
  <w:num w:numId="9">
    <w:abstractNumId w:val="1"/>
  </w:num>
  <w:num w:numId="10">
    <w:abstractNumId w:val="9"/>
  </w:num>
  <w:num w:numId="11">
    <w:abstractNumId w:val="6"/>
  </w:num>
  <w:numIdMacAtCleanup w:val="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stylePaneFormatFilter w:val="3F01"/>
  <w:doNotTrackMoves/>
  <w:defaultTabStop w:val="360"/>
  <w:drawingGridHorizontalSpacing w:val="100"/>
  <w:displayHorizontalDrawingGridEvery w:val="0"/>
  <w:displayVerticalDrawingGridEvery w:val="0"/>
  <w:noPunctuationKerning/>
  <w:characterSpacingControl w:val="doNotCompress"/>
  <w:hdrShapeDefaults>
    <o:shapedefaults v:ext="edit" spidmax="9217"/>
  </w:hdrShapeDefaults>
  <w:footnotePr>
    <w:footnote w:id="-1"/>
    <w:footnote w:id="0"/>
  </w:footnotePr>
  <w:endnotePr>
    <w:endnote w:id="-1"/>
    <w:endnote w:id="0"/>
  </w:endnotePr>
  <w:compat>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193F10"/>
    <w:rsid w:val="000079C7"/>
    <w:rsid w:val="00021F25"/>
    <w:rsid w:val="0002422A"/>
    <w:rsid w:val="00032C93"/>
    <w:rsid w:val="00032EC5"/>
    <w:rsid w:val="000539F9"/>
    <w:rsid w:val="00057114"/>
    <w:rsid w:val="000633FE"/>
    <w:rsid w:val="000723A0"/>
    <w:rsid w:val="00072978"/>
    <w:rsid w:val="000818EE"/>
    <w:rsid w:val="00086350"/>
    <w:rsid w:val="000915FF"/>
    <w:rsid w:val="000943D4"/>
    <w:rsid w:val="000A029D"/>
    <w:rsid w:val="000A102B"/>
    <w:rsid w:val="000B3208"/>
    <w:rsid w:val="000B3948"/>
    <w:rsid w:val="000B4B28"/>
    <w:rsid w:val="000B52C7"/>
    <w:rsid w:val="000B75B0"/>
    <w:rsid w:val="000C5143"/>
    <w:rsid w:val="000D01C6"/>
    <w:rsid w:val="000D1923"/>
    <w:rsid w:val="000D4FE4"/>
    <w:rsid w:val="000D57C7"/>
    <w:rsid w:val="000E42D3"/>
    <w:rsid w:val="000F162F"/>
    <w:rsid w:val="001051E7"/>
    <w:rsid w:val="00111453"/>
    <w:rsid w:val="0011452C"/>
    <w:rsid w:val="00123499"/>
    <w:rsid w:val="00135ADF"/>
    <w:rsid w:val="00137DBD"/>
    <w:rsid w:val="00140CD4"/>
    <w:rsid w:val="0014515A"/>
    <w:rsid w:val="00157BE0"/>
    <w:rsid w:val="001622A0"/>
    <w:rsid w:val="00162E21"/>
    <w:rsid w:val="001654FF"/>
    <w:rsid w:val="00170B78"/>
    <w:rsid w:val="001771DC"/>
    <w:rsid w:val="00181DBE"/>
    <w:rsid w:val="001859B0"/>
    <w:rsid w:val="00193F10"/>
    <w:rsid w:val="00194AA6"/>
    <w:rsid w:val="00195175"/>
    <w:rsid w:val="001A19D8"/>
    <w:rsid w:val="001B1F49"/>
    <w:rsid w:val="001B47B4"/>
    <w:rsid w:val="001B61E5"/>
    <w:rsid w:val="001B7B44"/>
    <w:rsid w:val="001C23AC"/>
    <w:rsid w:val="001C4E37"/>
    <w:rsid w:val="001C61CF"/>
    <w:rsid w:val="001C6B98"/>
    <w:rsid w:val="001C7A36"/>
    <w:rsid w:val="001D1649"/>
    <w:rsid w:val="001D1DE3"/>
    <w:rsid w:val="001D487F"/>
    <w:rsid w:val="001E2CD6"/>
    <w:rsid w:val="001F369F"/>
    <w:rsid w:val="001F5B7F"/>
    <w:rsid w:val="00201860"/>
    <w:rsid w:val="00203615"/>
    <w:rsid w:val="00204192"/>
    <w:rsid w:val="00207715"/>
    <w:rsid w:val="00211C1F"/>
    <w:rsid w:val="002204C3"/>
    <w:rsid w:val="002224D8"/>
    <w:rsid w:val="002225DD"/>
    <w:rsid w:val="002262E8"/>
    <w:rsid w:val="00241BE6"/>
    <w:rsid w:val="00242F8B"/>
    <w:rsid w:val="00243A64"/>
    <w:rsid w:val="00247B71"/>
    <w:rsid w:val="00252CA9"/>
    <w:rsid w:val="002544C4"/>
    <w:rsid w:val="00257BD8"/>
    <w:rsid w:val="002746D9"/>
    <w:rsid w:val="00275A77"/>
    <w:rsid w:val="00280AC9"/>
    <w:rsid w:val="00280E4D"/>
    <w:rsid w:val="0028202E"/>
    <w:rsid w:val="002A28C2"/>
    <w:rsid w:val="002A5096"/>
    <w:rsid w:val="002E51C8"/>
    <w:rsid w:val="002F0E6E"/>
    <w:rsid w:val="00302267"/>
    <w:rsid w:val="00307A86"/>
    <w:rsid w:val="00307EBE"/>
    <w:rsid w:val="00325492"/>
    <w:rsid w:val="00330E51"/>
    <w:rsid w:val="0033363A"/>
    <w:rsid w:val="00346552"/>
    <w:rsid w:val="00362639"/>
    <w:rsid w:val="00362B27"/>
    <w:rsid w:val="003802DC"/>
    <w:rsid w:val="00383433"/>
    <w:rsid w:val="00383531"/>
    <w:rsid w:val="003856BD"/>
    <w:rsid w:val="003858DE"/>
    <w:rsid w:val="00392795"/>
    <w:rsid w:val="0039482F"/>
    <w:rsid w:val="003A1144"/>
    <w:rsid w:val="003A3C29"/>
    <w:rsid w:val="003A6F59"/>
    <w:rsid w:val="003B1E0A"/>
    <w:rsid w:val="003C0968"/>
    <w:rsid w:val="003D7007"/>
    <w:rsid w:val="003E546F"/>
    <w:rsid w:val="003E683A"/>
    <w:rsid w:val="003F1AFB"/>
    <w:rsid w:val="003F267E"/>
    <w:rsid w:val="00400C47"/>
    <w:rsid w:val="0040283C"/>
    <w:rsid w:val="0043123B"/>
    <w:rsid w:val="004318F9"/>
    <w:rsid w:val="004414F2"/>
    <w:rsid w:val="004453A5"/>
    <w:rsid w:val="004462B8"/>
    <w:rsid w:val="00446FE7"/>
    <w:rsid w:val="00462565"/>
    <w:rsid w:val="00463474"/>
    <w:rsid w:val="004665E5"/>
    <w:rsid w:val="00466A3B"/>
    <w:rsid w:val="00474834"/>
    <w:rsid w:val="004760B8"/>
    <w:rsid w:val="004834B5"/>
    <w:rsid w:val="00487B36"/>
    <w:rsid w:val="004912D6"/>
    <w:rsid w:val="004914E7"/>
    <w:rsid w:val="0049164A"/>
    <w:rsid w:val="004A0306"/>
    <w:rsid w:val="004A0601"/>
    <w:rsid w:val="004B5185"/>
    <w:rsid w:val="004B57A0"/>
    <w:rsid w:val="004B681F"/>
    <w:rsid w:val="004C0984"/>
    <w:rsid w:val="004C342F"/>
    <w:rsid w:val="004D1D9F"/>
    <w:rsid w:val="004E460D"/>
    <w:rsid w:val="004E48C8"/>
    <w:rsid w:val="004F15ED"/>
    <w:rsid w:val="004F293C"/>
    <w:rsid w:val="004F3ABD"/>
    <w:rsid w:val="00503E84"/>
    <w:rsid w:val="005079C5"/>
    <w:rsid w:val="00531713"/>
    <w:rsid w:val="00537DF6"/>
    <w:rsid w:val="005419F4"/>
    <w:rsid w:val="005479D5"/>
    <w:rsid w:val="00547D76"/>
    <w:rsid w:val="00550FD1"/>
    <w:rsid w:val="00553544"/>
    <w:rsid w:val="00554A52"/>
    <w:rsid w:val="005564B6"/>
    <w:rsid w:val="00565A8A"/>
    <w:rsid w:val="0057636F"/>
    <w:rsid w:val="00592ADA"/>
    <w:rsid w:val="005B476F"/>
    <w:rsid w:val="005D7021"/>
    <w:rsid w:val="005E36E4"/>
    <w:rsid w:val="005E3CB0"/>
    <w:rsid w:val="005F05B0"/>
    <w:rsid w:val="005F0937"/>
    <w:rsid w:val="005F1FE3"/>
    <w:rsid w:val="005F457F"/>
    <w:rsid w:val="005F72B6"/>
    <w:rsid w:val="0060016B"/>
    <w:rsid w:val="0060062E"/>
    <w:rsid w:val="0061317B"/>
    <w:rsid w:val="00617209"/>
    <w:rsid w:val="0061784A"/>
    <w:rsid w:val="0063728F"/>
    <w:rsid w:val="00643DD1"/>
    <w:rsid w:val="00646A80"/>
    <w:rsid w:val="0065214A"/>
    <w:rsid w:val="00670D7C"/>
    <w:rsid w:val="00684184"/>
    <w:rsid w:val="00686486"/>
    <w:rsid w:val="006875A9"/>
    <w:rsid w:val="006A2057"/>
    <w:rsid w:val="006A2A4B"/>
    <w:rsid w:val="006A2A7E"/>
    <w:rsid w:val="006A5467"/>
    <w:rsid w:val="006A7991"/>
    <w:rsid w:val="006B6EFE"/>
    <w:rsid w:val="006C64AF"/>
    <w:rsid w:val="006D139D"/>
    <w:rsid w:val="006F0B39"/>
    <w:rsid w:val="006F74B1"/>
    <w:rsid w:val="00701FEF"/>
    <w:rsid w:val="00721479"/>
    <w:rsid w:val="007217EC"/>
    <w:rsid w:val="007266C7"/>
    <w:rsid w:val="00730EB8"/>
    <w:rsid w:val="007344B4"/>
    <w:rsid w:val="007404C9"/>
    <w:rsid w:val="00741F1A"/>
    <w:rsid w:val="00744B89"/>
    <w:rsid w:val="00762E18"/>
    <w:rsid w:val="00767228"/>
    <w:rsid w:val="007747AA"/>
    <w:rsid w:val="00777065"/>
    <w:rsid w:val="00780DA9"/>
    <w:rsid w:val="00782ABD"/>
    <w:rsid w:val="00786837"/>
    <w:rsid w:val="007935BB"/>
    <w:rsid w:val="0079635E"/>
    <w:rsid w:val="007A4E96"/>
    <w:rsid w:val="007A59B9"/>
    <w:rsid w:val="007A77F5"/>
    <w:rsid w:val="007B1041"/>
    <w:rsid w:val="007B268B"/>
    <w:rsid w:val="007B29DB"/>
    <w:rsid w:val="007C61D5"/>
    <w:rsid w:val="007D2433"/>
    <w:rsid w:val="007E0CED"/>
    <w:rsid w:val="007E5CA3"/>
    <w:rsid w:val="007E6887"/>
    <w:rsid w:val="007F7B7E"/>
    <w:rsid w:val="00800BDF"/>
    <w:rsid w:val="00812C15"/>
    <w:rsid w:val="00824D0D"/>
    <w:rsid w:val="00826AB2"/>
    <w:rsid w:val="008305FE"/>
    <w:rsid w:val="00831C01"/>
    <w:rsid w:val="00835018"/>
    <w:rsid w:val="008540BA"/>
    <w:rsid w:val="008603FF"/>
    <w:rsid w:val="00862F76"/>
    <w:rsid w:val="008673D3"/>
    <w:rsid w:val="0086780C"/>
    <w:rsid w:val="00876649"/>
    <w:rsid w:val="008814CC"/>
    <w:rsid w:val="00885885"/>
    <w:rsid w:val="0089301D"/>
    <w:rsid w:val="008A5224"/>
    <w:rsid w:val="008C02F5"/>
    <w:rsid w:val="008D2EB6"/>
    <w:rsid w:val="008D5EA4"/>
    <w:rsid w:val="008D7959"/>
    <w:rsid w:val="008F05BE"/>
    <w:rsid w:val="008F0B96"/>
    <w:rsid w:val="0090240C"/>
    <w:rsid w:val="00902F10"/>
    <w:rsid w:val="009066C7"/>
    <w:rsid w:val="009071F3"/>
    <w:rsid w:val="009128EF"/>
    <w:rsid w:val="0091367C"/>
    <w:rsid w:val="00915F63"/>
    <w:rsid w:val="0093238E"/>
    <w:rsid w:val="00937E74"/>
    <w:rsid w:val="00940F63"/>
    <w:rsid w:val="00941447"/>
    <w:rsid w:val="00942B8B"/>
    <w:rsid w:val="00952090"/>
    <w:rsid w:val="00952F3D"/>
    <w:rsid w:val="009530BB"/>
    <w:rsid w:val="0095489A"/>
    <w:rsid w:val="00955781"/>
    <w:rsid w:val="00966A4B"/>
    <w:rsid w:val="00992D43"/>
    <w:rsid w:val="009B32D2"/>
    <w:rsid w:val="009B3D29"/>
    <w:rsid w:val="009B42C8"/>
    <w:rsid w:val="009E3D68"/>
    <w:rsid w:val="009E7F68"/>
    <w:rsid w:val="009F1818"/>
    <w:rsid w:val="009F1E48"/>
    <w:rsid w:val="00A0506A"/>
    <w:rsid w:val="00A10EA2"/>
    <w:rsid w:val="00A12A0C"/>
    <w:rsid w:val="00A21E29"/>
    <w:rsid w:val="00A22EEB"/>
    <w:rsid w:val="00A24586"/>
    <w:rsid w:val="00A3725B"/>
    <w:rsid w:val="00A4222A"/>
    <w:rsid w:val="00A4524C"/>
    <w:rsid w:val="00A56B16"/>
    <w:rsid w:val="00A61F6A"/>
    <w:rsid w:val="00A64143"/>
    <w:rsid w:val="00A65EE7"/>
    <w:rsid w:val="00A663DD"/>
    <w:rsid w:val="00A75BC8"/>
    <w:rsid w:val="00A8016D"/>
    <w:rsid w:val="00A8409C"/>
    <w:rsid w:val="00A938D5"/>
    <w:rsid w:val="00A948F3"/>
    <w:rsid w:val="00A9515E"/>
    <w:rsid w:val="00A95330"/>
    <w:rsid w:val="00AA0240"/>
    <w:rsid w:val="00AA508A"/>
    <w:rsid w:val="00AB5734"/>
    <w:rsid w:val="00AC0A40"/>
    <w:rsid w:val="00AD48EE"/>
    <w:rsid w:val="00AE3E43"/>
    <w:rsid w:val="00AE5AD9"/>
    <w:rsid w:val="00AF4A25"/>
    <w:rsid w:val="00AF5E55"/>
    <w:rsid w:val="00AF7720"/>
    <w:rsid w:val="00B00A60"/>
    <w:rsid w:val="00B00F12"/>
    <w:rsid w:val="00B01B91"/>
    <w:rsid w:val="00B103DE"/>
    <w:rsid w:val="00B26156"/>
    <w:rsid w:val="00B30284"/>
    <w:rsid w:val="00B31E74"/>
    <w:rsid w:val="00B34F24"/>
    <w:rsid w:val="00B433A5"/>
    <w:rsid w:val="00B46BE1"/>
    <w:rsid w:val="00B478C9"/>
    <w:rsid w:val="00B608FE"/>
    <w:rsid w:val="00B66341"/>
    <w:rsid w:val="00B756BB"/>
    <w:rsid w:val="00B7612C"/>
    <w:rsid w:val="00B80226"/>
    <w:rsid w:val="00B92D6B"/>
    <w:rsid w:val="00BA2F93"/>
    <w:rsid w:val="00BB1087"/>
    <w:rsid w:val="00BC5729"/>
    <w:rsid w:val="00BD5758"/>
    <w:rsid w:val="00BE00BC"/>
    <w:rsid w:val="00BE0F0E"/>
    <w:rsid w:val="00BF20E9"/>
    <w:rsid w:val="00BF3C7D"/>
    <w:rsid w:val="00BF5110"/>
    <w:rsid w:val="00BF65BF"/>
    <w:rsid w:val="00C00ED3"/>
    <w:rsid w:val="00C02BEB"/>
    <w:rsid w:val="00C04FD1"/>
    <w:rsid w:val="00C06C6D"/>
    <w:rsid w:val="00C1144E"/>
    <w:rsid w:val="00C12852"/>
    <w:rsid w:val="00C13035"/>
    <w:rsid w:val="00C14738"/>
    <w:rsid w:val="00C14D8B"/>
    <w:rsid w:val="00C20981"/>
    <w:rsid w:val="00C24A0D"/>
    <w:rsid w:val="00C274DB"/>
    <w:rsid w:val="00C27695"/>
    <w:rsid w:val="00C3293D"/>
    <w:rsid w:val="00C32DAE"/>
    <w:rsid w:val="00C343EB"/>
    <w:rsid w:val="00C40EAF"/>
    <w:rsid w:val="00C502D1"/>
    <w:rsid w:val="00C531BE"/>
    <w:rsid w:val="00C57242"/>
    <w:rsid w:val="00C60108"/>
    <w:rsid w:val="00C65E0F"/>
    <w:rsid w:val="00C66E7D"/>
    <w:rsid w:val="00C71E27"/>
    <w:rsid w:val="00C7334D"/>
    <w:rsid w:val="00C74305"/>
    <w:rsid w:val="00C7510F"/>
    <w:rsid w:val="00C7582E"/>
    <w:rsid w:val="00C90000"/>
    <w:rsid w:val="00C929A0"/>
    <w:rsid w:val="00C95882"/>
    <w:rsid w:val="00CA3932"/>
    <w:rsid w:val="00CB483E"/>
    <w:rsid w:val="00CB4EA1"/>
    <w:rsid w:val="00CD4115"/>
    <w:rsid w:val="00CF4DCC"/>
    <w:rsid w:val="00D07B72"/>
    <w:rsid w:val="00D10EEF"/>
    <w:rsid w:val="00D132FA"/>
    <w:rsid w:val="00D14415"/>
    <w:rsid w:val="00D1773B"/>
    <w:rsid w:val="00D208EA"/>
    <w:rsid w:val="00D2326C"/>
    <w:rsid w:val="00D24F36"/>
    <w:rsid w:val="00D262B1"/>
    <w:rsid w:val="00D274DD"/>
    <w:rsid w:val="00D32F7E"/>
    <w:rsid w:val="00D33CE6"/>
    <w:rsid w:val="00D40588"/>
    <w:rsid w:val="00D4398E"/>
    <w:rsid w:val="00D43E3A"/>
    <w:rsid w:val="00D462F8"/>
    <w:rsid w:val="00D50F3F"/>
    <w:rsid w:val="00D51D78"/>
    <w:rsid w:val="00D56AEB"/>
    <w:rsid w:val="00D64ABE"/>
    <w:rsid w:val="00D70254"/>
    <w:rsid w:val="00D7245E"/>
    <w:rsid w:val="00D727AB"/>
    <w:rsid w:val="00D756FF"/>
    <w:rsid w:val="00D75F45"/>
    <w:rsid w:val="00D85A7E"/>
    <w:rsid w:val="00DA4D8D"/>
    <w:rsid w:val="00DA64DD"/>
    <w:rsid w:val="00DB4E11"/>
    <w:rsid w:val="00DD67DA"/>
    <w:rsid w:val="00DD7739"/>
    <w:rsid w:val="00DE3381"/>
    <w:rsid w:val="00DE33F2"/>
    <w:rsid w:val="00E01293"/>
    <w:rsid w:val="00E01DD7"/>
    <w:rsid w:val="00E133AD"/>
    <w:rsid w:val="00E20C53"/>
    <w:rsid w:val="00E375AA"/>
    <w:rsid w:val="00E40BF0"/>
    <w:rsid w:val="00E42819"/>
    <w:rsid w:val="00E429C3"/>
    <w:rsid w:val="00E43FFA"/>
    <w:rsid w:val="00E45D04"/>
    <w:rsid w:val="00E50051"/>
    <w:rsid w:val="00E54AEF"/>
    <w:rsid w:val="00E607EE"/>
    <w:rsid w:val="00E718C1"/>
    <w:rsid w:val="00E75AC1"/>
    <w:rsid w:val="00E805DB"/>
    <w:rsid w:val="00E84B3B"/>
    <w:rsid w:val="00E967EC"/>
    <w:rsid w:val="00EC344E"/>
    <w:rsid w:val="00ED1880"/>
    <w:rsid w:val="00ED61CC"/>
    <w:rsid w:val="00ED7E2D"/>
    <w:rsid w:val="00EE0F59"/>
    <w:rsid w:val="00EE371F"/>
    <w:rsid w:val="00EE6112"/>
    <w:rsid w:val="00EE7D94"/>
    <w:rsid w:val="00F03871"/>
    <w:rsid w:val="00F03C83"/>
    <w:rsid w:val="00F1158E"/>
    <w:rsid w:val="00F11BBD"/>
    <w:rsid w:val="00F1683F"/>
    <w:rsid w:val="00F26697"/>
    <w:rsid w:val="00F36BA6"/>
    <w:rsid w:val="00F463E6"/>
    <w:rsid w:val="00F50150"/>
    <w:rsid w:val="00F54877"/>
    <w:rsid w:val="00F5729A"/>
    <w:rsid w:val="00F57B5B"/>
    <w:rsid w:val="00F67B7D"/>
    <w:rsid w:val="00F71458"/>
    <w:rsid w:val="00F72559"/>
    <w:rsid w:val="00F72A97"/>
    <w:rsid w:val="00F73D6F"/>
    <w:rsid w:val="00F748D2"/>
    <w:rsid w:val="00F77D22"/>
    <w:rsid w:val="00FA4733"/>
    <w:rsid w:val="00FB4368"/>
    <w:rsid w:val="00FC1211"/>
    <w:rsid w:val="00FC3106"/>
    <w:rsid w:val="00FD03DD"/>
    <w:rsid w:val="00FD47C5"/>
    <w:rsid w:val="00FF7719"/>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hapeDefaults>
    <o:shapedefaults v:ext="edit" spidmax="921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F0B39"/>
  </w:style>
  <w:style w:type="paragraph" w:styleId="Heading1">
    <w:name w:val="heading 1"/>
    <w:basedOn w:val="Normal"/>
    <w:next w:val="Normal"/>
    <w:qFormat/>
    <w:rsid w:val="006F0B39"/>
    <w:pPr>
      <w:keepNext/>
      <w:spacing w:after="120"/>
      <w:ind w:left="634"/>
      <w:outlineLvl w:val="0"/>
    </w:pPr>
    <w:rPr>
      <w:sz w:val="28"/>
    </w:rPr>
  </w:style>
  <w:style w:type="paragraph" w:styleId="Heading2">
    <w:name w:val="heading 2"/>
    <w:basedOn w:val="Normal"/>
    <w:next w:val="Normal"/>
    <w:qFormat/>
    <w:rsid w:val="006F0B39"/>
    <w:pPr>
      <w:keepNext/>
      <w:ind w:left="630"/>
      <w:outlineLvl w:val="1"/>
    </w:pPr>
    <w:rPr>
      <w:i/>
      <w:sz w:val="23"/>
    </w:rPr>
  </w:style>
  <w:style w:type="paragraph" w:styleId="Heading3">
    <w:name w:val="heading 3"/>
    <w:basedOn w:val="Normal"/>
    <w:next w:val="Normal"/>
    <w:qFormat/>
    <w:rsid w:val="006F0B39"/>
    <w:pPr>
      <w:keepNext/>
      <w:jc w:val="center"/>
      <w:outlineLvl w:val="2"/>
    </w:pPr>
    <w:rPr>
      <w:sz w:val="28"/>
    </w:rPr>
  </w:style>
  <w:style w:type="paragraph" w:styleId="Heading4">
    <w:name w:val="heading 4"/>
    <w:basedOn w:val="Normal"/>
    <w:next w:val="Normal"/>
    <w:qFormat/>
    <w:rsid w:val="006F0B39"/>
    <w:pPr>
      <w:keepNext/>
      <w:jc w:val="center"/>
      <w:outlineLvl w:val="3"/>
    </w:pPr>
    <w:rPr>
      <w:b/>
      <w:sz w:val="22"/>
    </w:rPr>
  </w:style>
  <w:style w:type="paragraph" w:styleId="Heading5">
    <w:name w:val="heading 5"/>
    <w:basedOn w:val="Normal"/>
    <w:next w:val="Normal"/>
    <w:qFormat/>
    <w:rsid w:val="006F0B39"/>
    <w:pPr>
      <w:keepNext/>
      <w:spacing w:after="120"/>
      <w:ind w:left="720"/>
      <w:outlineLvl w:val="4"/>
    </w:pPr>
    <w:rPr>
      <w:b/>
      <w:sz w:val="22"/>
    </w:rPr>
  </w:style>
  <w:style w:type="paragraph" w:styleId="Heading6">
    <w:name w:val="heading 6"/>
    <w:basedOn w:val="Normal"/>
    <w:next w:val="Normal"/>
    <w:qFormat/>
    <w:rsid w:val="006F0B39"/>
    <w:pPr>
      <w:keepNext/>
      <w:jc w:val="center"/>
      <w:outlineLvl w:val="5"/>
    </w:pPr>
    <w:rPr>
      <w:b/>
      <w:sz w:val="24"/>
    </w:rPr>
  </w:style>
  <w:style w:type="paragraph" w:styleId="Heading7">
    <w:name w:val="heading 7"/>
    <w:basedOn w:val="Normal"/>
    <w:next w:val="Normal"/>
    <w:qFormat/>
    <w:rsid w:val="006F0B39"/>
    <w:pPr>
      <w:keepNext/>
      <w:tabs>
        <w:tab w:val="right" w:pos="9648"/>
      </w:tabs>
      <w:spacing w:after="120" w:line="240" w:lineRule="exact"/>
      <w:ind w:left="630"/>
      <w:outlineLvl w:val="6"/>
    </w:pPr>
    <w:rPr>
      <w:b/>
      <w:sz w:val="22"/>
    </w:rPr>
  </w:style>
  <w:style w:type="paragraph" w:styleId="Heading8">
    <w:name w:val="heading 8"/>
    <w:basedOn w:val="Normal"/>
    <w:next w:val="Normal"/>
    <w:qFormat/>
    <w:rsid w:val="006F0B39"/>
    <w:pPr>
      <w:keepNext/>
      <w:spacing w:after="120"/>
      <w:outlineLvl w:val="7"/>
    </w:pPr>
    <w:rPr>
      <w:b/>
      <w:caps/>
      <w:sz w:val="22"/>
    </w:rPr>
  </w:style>
  <w:style w:type="paragraph" w:styleId="Heading9">
    <w:name w:val="heading 9"/>
    <w:basedOn w:val="Normal"/>
    <w:next w:val="Normal"/>
    <w:qFormat/>
    <w:rsid w:val="006F0B39"/>
    <w:pPr>
      <w:keepNext/>
      <w:spacing w:after="120"/>
      <w:ind w:left="360"/>
      <w:outlineLvl w:val="8"/>
    </w:pPr>
    <w:rPr>
      <w:sz w:val="2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sid w:val="006F0B39"/>
    <w:rPr>
      <w:vertAlign w:val="superscript"/>
    </w:rPr>
  </w:style>
  <w:style w:type="paragraph" w:styleId="Header">
    <w:name w:val="header"/>
    <w:basedOn w:val="Normal"/>
    <w:rsid w:val="006F0B39"/>
    <w:pPr>
      <w:tabs>
        <w:tab w:val="center" w:pos="4320"/>
        <w:tab w:val="right" w:pos="8640"/>
      </w:tabs>
    </w:pPr>
  </w:style>
  <w:style w:type="character" w:styleId="PageNumber">
    <w:name w:val="page number"/>
    <w:basedOn w:val="DefaultParagraphFont"/>
    <w:rsid w:val="006F0B39"/>
  </w:style>
  <w:style w:type="paragraph" w:styleId="Footer">
    <w:name w:val="footer"/>
    <w:basedOn w:val="Normal"/>
    <w:rsid w:val="006F0B39"/>
    <w:pPr>
      <w:tabs>
        <w:tab w:val="center" w:pos="4320"/>
        <w:tab w:val="right" w:pos="8640"/>
      </w:tabs>
    </w:pPr>
  </w:style>
  <w:style w:type="paragraph" w:styleId="BodyTextIndent">
    <w:name w:val="Body Text Indent"/>
    <w:basedOn w:val="Normal"/>
    <w:rsid w:val="006F0B39"/>
    <w:pPr>
      <w:spacing w:after="120"/>
      <w:ind w:left="634"/>
    </w:pPr>
    <w:rPr>
      <w:sz w:val="24"/>
    </w:rPr>
  </w:style>
  <w:style w:type="paragraph" w:styleId="BodyTextIndent2">
    <w:name w:val="Body Text Indent 2"/>
    <w:basedOn w:val="Normal"/>
    <w:rsid w:val="006F0B39"/>
    <w:pPr>
      <w:tabs>
        <w:tab w:val="left" w:pos="630"/>
      </w:tabs>
      <w:spacing w:after="120"/>
      <w:ind w:left="630"/>
    </w:pPr>
    <w:rPr>
      <w:sz w:val="24"/>
    </w:rPr>
  </w:style>
  <w:style w:type="paragraph" w:styleId="BodyTextIndent3">
    <w:name w:val="Body Text Indent 3"/>
    <w:basedOn w:val="Normal"/>
    <w:rsid w:val="006F0B39"/>
    <w:pPr>
      <w:spacing w:before="240" w:after="120"/>
      <w:ind w:left="634"/>
      <w:jc w:val="center"/>
    </w:pPr>
    <w:rPr>
      <w:caps/>
      <w:sz w:val="24"/>
    </w:rPr>
  </w:style>
  <w:style w:type="paragraph" w:styleId="BodyText2">
    <w:name w:val="Body Text 2"/>
    <w:basedOn w:val="Normal"/>
    <w:rsid w:val="006F0B39"/>
    <w:pPr>
      <w:numPr>
        <w:ilvl w:val="12"/>
      </w:numPr>
      <w:spacing w:after="120"/>
      <w:jc w:val="both"/>
    </w:pPr>
    <w:rPr>
      <w:sz w:val="22"/>
    </w:rPr>
  </w:style>
  <w:style w:type="paragraph" w:styleId="Title">
    <w:name w:val="Title"/>
    <w:basedOn w:val="Normal"/>
    <w:qFormat/>
    <w:rsid w:val="006F0B39"/>
    <w:pPr>
      <w:jc w:val="center"/>
    </w:pPr>
    <w:rPr>
      <w:b/>
      <w:sz w:val="24"/>
    </w:rPr>
  </w:style>
  <w:style w:type="paragraph" w:styleId="BodyText">
    <w:name w:val="Body Text"/>
    <w:aliases w:val="SCA Body Text,SCA Body Text1,SCA Body Text2,SCA Body Text11,BodyText-JEA,BT-JEA"/>
    <w:basedOn w:val="Normal"/>
    <w:rsid w:val="006F0B39"/>
    <w:pPr>
      <w:spacing w:after="120"/>
    </w:pPr>
    <w:rPr>
      <w:sz w:val="24"/>
    </w:rPr>
  </w:style>
  <w:style w:type="paragraph" w:styleId="BodyText3">
    <w:name w:val="Body Text 3"/>
    <w:basedOn w:val="Normal"/>
    <w:rsid w:val="006F0B39"/>
    <w:pPr>
      <w:spacing w:before="120" w:after="120"/>
    </w:pPr>
    <w:rPr>
      <w:sz w:val="22"/>
    </w:rPr>
  </w:style>
  <w:style w:type="paragraph" w:customStyle="1" w:styleId="Style4">
    <w:name w:val="Style4"/>
    <w:next w:val="Normal"/>
    <w:rsid w:val="006F0B39"/>
    <w:rPr>
      <w:noProof/>
      <w:sz w:val="24"/>
    </w:rPr>
  </w:style>
  <w:style w:type="paragraph" w:styleId="BlockText">
    <w:name w:val="Block Text"/>
    <w:basedOn w:val="Normal"/>
    <w:rsid w:val="006F0B39"/>
    <w:pPr>
      <w:spacing w:after="120"/>
      <w:ind w:left="720" w:right="43"/>
      <w:jc w:val="both"/>
    </w:pPr>
    <w:rPr>
      <w:sz w:val="22"/>
    </w:rPr>
  </w:style>
  <w:style w:type="character" w:styleId="Hyperlink">
    <w:name w:val="Hyperlink"/>
    <w:basedOn w:val="DefaultParagraphFont"/>
    <w:rsid w:val="006F0B39"/>
    <w:rPr>
      <w:color w:val="0000FF"/>
      <w:u w:val="single"/>
    </w:rPr>
  </w:style>
  <w:style w:type="paragraph" w:customStyle="1" w:styleId="SCATableHeading">
    <w:name w:val="SCA Table Heading"/>
    <w:basedOn w:val="Normal"/>
    <w:rsid w:val="006F0B39"/>
    <w:pPr>
      <w:jc w:val="center"/>
    </w:pPr>
    <w:rPr>
      <w:b/>
      <w:caps/>
    </w:rPr>
  </w:style>
  <w:style w:type="paragraph" w:customStyle="1" w:styleId="Default">
    <w:name w:val="Default"/>
    <w:rsid w:val="002A28C2"/>
    <w:pPr>
      <w:autoSpaceDE w:val="0"/>
      <w:autoSpaceDN w:val="0"/>
      <w:adjustRightInd w:val="0"/>
    </w:pPr>
    <w:rPr>
      <w:color w:val="000000"/>
      <w:sz w:val="24"/>
      <w:szCs w:val="24"/>
    </w:rPr>
  </w:style>
  <w:style w:type="table" w:styleId="TableGrid">
    <w:name w:val="Table Grid"/>
    <w:basedOn w:val="TableNormal"/>
    <w:rsid w:val="004760B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2087220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jerry.woosley@dep.state.fl.u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F285B2-D2EE-42C4-A75D-2173F3C2C5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5</Pages>
  <Words>1927</Words>
  <Characters>11015</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Technical Evaluation &amp; Preliminary Determination</vt:lpstr>
    </vt:vector>
  </TitlesOfParts>
  <Manager>Trina Vielhauer</Manager>
  <Company>FDEP/DARM/BAR</Company>
  <LinksUpToDate>false</LinksUpToDate>
  <CharactersWithSpaces>12917</CharactersWithSpaces>
  <SharedDoc>false</SharedDoc>
  <HLinks>
    <vt:vector size="6" baseType="variant">
      <vt:variant>
        <vt:i4>5963819</vt:i4>
      </vt:variant>
      <vt:variant>
        <vt:i4>0</vt:i4>
      </vt:variant>
      <vt:variant>
        <vt:i4>0</vt:i4>
      </vt:variant>
      <vt:variant>
        <vt:i4>5</vt:i4>
      </vt:variant>
      <vt:variant>
        <vt:lpwstr>mailto:marilyn.koletzke@dep.state.fl.us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Technical Evaluation &amp; Preliminary Determination</dc:title>
  <dc:subject>Draft Permit</dc:subject>
  <dc:creator>Jeff Koerner</dc:creator>
  <cp:keywords/>
  <cp:lastModifiedBy>Jerry Woosley</cp:lastModifiedBy>
  <cp:revision>4</cp:revision>
  <cp:lastPrinted>2013-03-12T16:47:00Z</cp:lastPrinted>
  <dcterms:created xsi:type="dcterms:W3CDTF">2013-03-12T16:13:00Z</dcterms:created>
  <dcterms:modified xsi:type="dcterms:W3CDTF">2013-03-12T22:20:00Z</dcterms:modified>
</cp:coreProperties>
</file>